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9066" w14:textId="77777777" w:rsidR="002C34C6" w:rsidRDefault="00940046" w:rsidP="002C34C6">
      <w:pPr>
        <w:pStyle w:val="a3"/>
        <w:contextualSpacing/>
        <w:jc w:val="center"/>
        <w:rPr>
          <w:b/>
          <w:bCs/>
          <w:iCs/>
          <w:sz w:val="28"/>
          <w:szCs w:val="28"/>
          <w:lang w:val="uk-UA"/>
        </w:rPr>
      </w:pPr>
      <w:r w:rsidRPr="002C34C6">
        <w:rPr>
          <w:b/>
          <w:bCs/>
          <w:iCs/>
          <w:sz w:val="28"/>
          <w:szCs w:val="28"/>
          <w:lang w:val="uk-UA"/>
        </w:rPr>
        <w:t xml:space="preserve">Конституційні гарантії захисту культурної спадщини України та </w:t>
      </w:r>
    </w:p>
    <w:p w14:paraId="0E38FDC2" w14:textId="711F46F1" w:rsidR="006E183C" w:rsidRPr="002C34C6" w:rsidRDefault="00940046" w:rsidP="002C34C6">
      <w:pPr>
        <w:pStyle w:val="a3"/>
        <w:contextualSpacing/>
        <w:jc w:val="center"/>
        <w:rPr>
          <w:sz w:val="28"/>
          <w:szCs w:val="28"/>
          <w:lang w:val="uk-UA"/>
        </w:rPr>
      </w:pPr>
      <w:r w:rsidRPr="002C34C6">
        <w:rPr>
          <w:b/>
          <w:bCs/>
          <w:iCs/>
          <w:sz w:val="28"/>
          <w:szCs w:val="28"/>
          <w:lang w:val="uk-UA"/>
        </w:rPr>
        <w:t>судовий контроль за збереженням І</w:t>
      </w:r>
      <w:r w:rsidR="00F6005D" w:rsidRPr="002C34C6">
        <w:rPr>
          <w:b/>
          <w:bCs/>
          <w:iCs/>
          <w:sz w:val="28"/>
          <w:szCs w:val="28"/>
          <w:lang w:val="uk-UA"/>
        </w:rPr>
        <w:t>сторичного ареалу міста Києва</w:t>
      </w:r>
    </w:p>
    <w:p w14:paraId="064ABEA0" w14:textId="77777777" w:rsidR="002D3843" w:rsidRPr="002C34C6" w:rsidRDefault="002D3843" w:rsidP="002C34C6">
      <w:pPr>
        <w:pStyle w:val="a3"/>
        <w:ind w:firstLine="567"/>
        <w:contextualSpacing/>
        <w:jc w:val="both"/>
        <w:rPr>
          <w:sz w:val="28"/>
          <w:szCs w:val="28"/>
          <w:lang w:val="uk-UA"/>
        </w:rPr>
      </w:pPr>
    </w:p>
    <w:p w14:paraId="5AE6E8B7" w14:textId="253A5FC0" w:rsidR="002D3843" w:rsidRPr="002C34C6" w:rsidRDefault="00940046" w:rsidP="002C34C6">
      <w:pPr>
        <w:pStyle w:val="a3"/>
        <w:ind w:firstLine="567"/>
        <w:contextualSpacing/>
        <w:jc w:val="both"/>
        <w:rPr>
          <w:bCs/>
          <w:sz w:val="28"/>
          <w:szCs w:val="28"/>
          <w:lang w:val="uk-UA"/>
        </w:rPr>
      </w:pPr>
      <w:r w:rsidRPr="002C34C6">
        <w:rPr>
          <w:bCs/>
          <w:sz w:val="28"/>
          <w:szCs w:val="28"/>
          <w:lang w:val="uk-UA"/>
        </w:rPr>
        <w:t>Відповідно до с</w:t>
      </w:r>
      <w:r w:rsidR="002D3843" w:rsidRPr="002C34C6">
        <w:rPr>
          <w:bCs/>
          <w:sz w:val="28"/>
          <w:szCs w:val="28"/>
          <w:lang w:val="uk-UA"/>
        </w:rPr>
        <w:t>татт</w:t>
      </w:r>
      <w:r w:rsidRPr="002C34C6">
        <w:rPr>
          <w:bCs/>
          <w:sz w:val="28"/>
          <w:szCs w:val="28"/>
          <w:lang w:val="uk-UA"/>
        </w:rPr>
        <w:t>і</w:t>
      </w:r>
      <w:r w:rsidR="002D3843" w:rsidRPr="002C34C6">
        <w:rPr>
          <w:bCs/>
          <w:sz w:val="28"/>
          <w:szCs w:val="28"/>
          <w:lang w:val="uk-UA"/>
        </w:rPr>
        <w:t xml:space="preserve"> 54 Конституції України культурна спадщина охороняється законом</w:t>
      </w:r>
      <w:r w:rsidRPr="002C34C6">
        <w:rPr>
          <w:bCs/>
          <w:sz w:val="28"/>
          <w:szCs w:val="28"/>
          <w:lang w:val="uk-UA"/>
        </w:rPr>
        <w:t>; Д</w:t>
      </w:r>
      <w:r w:rsidR="002D3843" w:rsidRPr="002C34C6">
        <w:rPr>
          <w:bCs/>
          <w:sz w:val="28"/>
          <w:szCs w:val="28"/>
          <w:lang w:val="uk-UA"/>
        </w:rPr>
        <w:t>ержава забезпечує збереження історичних пам’яток та інших об’єктів, що становлять культурну цінність.</w:t>
      </w:r>
    </w:p>
    <w:p w14:paraId="677A9D14" w14:textId="31A95975" w:rsidR="002D3843" w:rsidRPr="002C34C6" w:rsidRDefault="002D3843" w:rsidP="002C34C6">
      <w:pPr>
        <w:pStyle w:val="a3"/>
        <w:ind w:firstLine="567"/>
        <w:contextualSpacing/>
        <w:jc w:val="both"/>
        <w:rPr>
          <w:bCs/>
          <w:sz w:val="28"/>
          <w:szCs w:val="28"/>
          <w:lang w:val="uk-UA"/>
        </w:rPr>
      </w:pPr>
      <w:r w:rsidRPr="002C34C6">
        <w:rPr>
          <w:bCs/>
          <w:sz w:val="28"/>
          <w:szCs w:val="28"/>
          <w:lang w:val="uk-UA"/>
        </w:rPr>
        <w:t>Конституція України також закріплює за кожним обов’язок не заподіювати шкоду природі, культурній спадщині, відшкодовувати завдані ним збитки (стаття 66).</w:t>
      </w:r>
    </w:p>
    <w:p w14:paraId="65E8F7FB" w14:textId="1829398E" w:rsidR="002D3843" w:rsidRPr="002C34C6" w:rsidRDefault="002D3843" w:rsidP="002C34C6">
      <w:pPr>
        <w:pStyle w:val="a3"/>
        <w:ind w:firstLine="567"/>
        <w:contextualSpacing/>
        <w:jc w:val="both"/>
        <w:rPr>
          <w:bCs/>
          <w:sz w:val="28"/>
          <w:szCs w:val="28"/>
          <w:lang w:val="uk-UA"/>
        </w:rPr>
      </w:pPr>
      <w:r w:rsidRPr="002C34C6">
        <w:rPr>
          <w:bCs/>
          <w:sz w:val="28"/>
          <w:szCs w:val="28"/>
          <w:lang w:val="uk-UA"/>
        </w:rPr>
        <w:t>Правові, організаційні, соціальні та економічні відносини у сфері охорони культурної спадщини з метою її збереження, використання об’єктів культурної спадщини у суспільному житті, захисту традиційного характеру середовища в інтересах нинішнього і майбутніх поколінь регулює Закон України «Про охорону культурної спадщини» у преамбулі до якого зазначено, що об’єкти культурної спадщини, які знаходяться на території України, у межах її територіального моря та прилеглої зони, охороняються державою. Охорона об’єктів культурної спадщини є одним із пріоритетних завдань органів державної влади та органів місцевого самоврядування.</w:t>
      </w:r>
    </w:p>
    <w:p w14:paraId="357E51B8" w14:textId="764DFD46" w:rsidR="002D3843" w:rsidRPr="002C34C6" w:rsidRDefault="002D3843" w:rsidP="002C34C6">
      <w:pPr>
        <w:pStyle w:val="a3"/>
        <w:ind w:firstLine="567"/>
        <w:contextualSpacing/>
        <w:jc w:val="both"/>
        <w:rPr>
          <w:bCs/>
          <w:sz w:val="28"/>
          <w:szCs w:val="28"/>
          <w:lang w:val="uk-UA"/>
        </w:rPr>
      </w:pPr>
      <w:r w:rsidRPr="002C34C6">
        <w:rPr>
          <w:bCs/>
          <w:sz w:val="28"/>
          <w:szCs w:val="28"/>
          <w:lang w:val="uk-UA"/>
        </w:rPr>
        <w:t>За визначеннями, наведеними у статті 1 Закону України «Про охорону культурної спадщини»:</w:t>
      </w:r>
    </w:p>
    <w:p w14:paraId="4A11CB25"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 історичне населене місце – населене місце, яке зберегло повністю або частково історичний ареал і занесене до Списку історичних населених місць України; </w:t>
      </w:r>
    </w:p>
    <w:p w14:paraId="27AB3956"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 історичний ареал населеного місця – частина населеного місця, що зберегла старовинний вигляд, розпланування та форму забудови, типові для певних культур або періодів розвитку; </w:t>
      </w:r>
    </w:p>
    <w:p w14:paraId="6EC36B7C"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 об`єкт культурної спадщини - визначне місце, споруда (витвір), комплекс (ансамбль), їхні частини, пов`язані з ними рухомі предмети, а також території чи водні об`єкти (об`єкти підводної культурної та археологічної спадщини),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 </w:t>
      </w:r>
    </w:p>
    <w:p w14:paraId="59FF6CAE"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 пам`ятка культурної спадщини - об`єкт культурної спадщини, який занесено до Державного реєстру нерухомих пам`яток України, або об`єкт культурної спадщини, який взято на державний облік відповідно до законодавства, що діяло до набрання чинності цим Законом, до вирішення питання про включення (невключення) об`єкта культурної спадщини до Державного реєстру нерухомих пам`яток України; історичний ареал населеного місця - частина населеного місця, що зберегла об`єкти культурної спадщини і пов`язані з ними розпланування та форму забудови, які походять з попередніх періодів розвитку, типові для певних культур або періодів розвитку.</w:t>
      </w:r>
    </w:p>
    <w:p w14:paraId="36F93A22" w14:textId="28FA6EA7" w:rsidR="002D3843" w:rsidRPr="002C34C6" w:rsidRDefault="002D3843" w:rsidP="002C34C6">
      <w:pPr>
        <w:pStyle w:val="a3"/>
        <w:ind w:firstLine="567"/>
        <w:contextualSpacing/>
        <w:jc w:val="both"/>
        <w:rPr>
          <w:bCs/>
          <w:sz w:val="28"/>
          <w:szCs w:val="28"/>
          <w:lang w:val="uk-UA"/>
        </w:rPr>
      </w:pPr>
      <w:r w:rsidRPr="002C34C6">
        <w:rPr>
          <w:bCs/>
          <w:sz w:val="28"/>
          <w:szCs w:val="28"/>
          <w:lang w:val="uk-UA"/>
        </w:rPr>
        <w:t>Законом України «Про ратифікацію Рамкової конвенції Ради Європи про значення культурної спадщини для суспільства» від 19 вересня 2013 року № 581-</w:t>
      </w:r>
      <w:r w:rsidRPr="002C34C6">
        <w:rPr>
          <w:bCs/>
          <w:sz w:val="28"/>
          <w:szCs w:val="28"/>
          <w:lang w:val="uk-UA"/>
        </w:rPr>
        <w:lastRenderedPageBreak/>
        <w:t>VII Україною ратифіковано Рамкову конвенцію Ради Європи про значення культурної спадщини для суспільства.</w:t>
      </w:r>
    </w:p>
    <w:p w14:paraId="12380BE9" w14:textId="751FEBD7"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Відповідно до преамбули до Рамкової конвенції Ради Європи про значення культурної спадщини для суспільства Сторони цієї Конвенції, у тому числі й Україна, наголошуючи, зокрема, на значенні й потенціалі розумного використання культурної спадщини як ресурсу сталого розвитку та якості життя в постійно мінливому суспільстві, посилаючись на різні документи Ради Європи, особливо на Європейську культурну конвенцію (1954 року), Конвенцію про охорону архітектурної спадщини Європи (1985 року), Європейську конвенцію про охорону археологічної спадщини (переглянуту) (1992 року) та Європейську ландшафтну конвенцію (2000 року), домовилась: визнавати індивідуальну та колективну відповідальність стосовно культурної спадщини; наголошувати на тому, що збереження культурної спадщини та її стале використання спрямовані на розвиток людського потенціалу та якості життя; уживати необхідних заходів для застосування положень Конвенції стосовно: </w:t>
      </w:r>
    </w:p>
    <w:p w14:paraId="0B2DB028"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 ролі культурної спадщини у створенні мирного та демократичного суспільства, а також у процесах сталого розвитку культурного різноманіття та сприяння йому; </w:t>
      </w:r>
    </w:p>
    <w:p w14:paraId="72CB9F15"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 найліпшої ефективної реалізації повноважень усіх відповідних громадських, інституційних та приватних учасників (пункти b), c), d) статті 1 Конвенції).</w:t>
      </w:r>
    </w:p>
    <w:p w14:paraId="08A2DD72" w14:textId="79A9D069" w:rsidR="002D3843" w:rsidRPr="002C34C6" w:rsidRDefault="002D3843" w:rsidP="002C34C6">
      <w:pPr>
        <w:pStyle w:val="a3"/>
        <w:ind w:firstLine="567"/>
        <w:contextualSpacing/>
        <w:jc w:val="both"/>
        <w:rPr>
          <w:bCs/>
          <w:sz w:val="28"/>
          <w:szCs w:val="28"/>
          <w:lang w:val="uk-UA"/>
        </w:rPr>
      </w:pPr>
      <w:r w:rsidRPr="002C34C6">
        <w:rPr>
          <w:bCs/>
          <w:sz w:val="28"/>
          <w:szCs w:val="28"/>
          <w:lang w:val="uk-UA"/>
        </w:rPr>
        <w:t>Згідно із статтею 5 Рамкової конвенції Ради Європи про значення культурної спадщини для суспільства Сторони зобов’язуються, зокрема: визнавати громадський інтерес до культурної спадщини відповідно до її значення для суспільства; підвищувати цінність культурної спадщини через її виявлення, вивчення, тлумачення, захист, збереження та представлення; сприяти захистові культурної спадщини як важливого фактору для спільних цілей сталого розвитку, культурного різноманіття й сучасної творчості; визнавати цінність культурної спадщини, яка знаходиться на територіях під їхньою юрисдикцією, незалежно від її походження; розробляти інтегровані стратегії для сприяння виконанню положень цієї Конвенції ( пункти a), b), e), f), g) цієї статті Конвенції).</w:t>
      </w:r>
    </w:p>
    <w:p w14:paraId="6B1618C8" w14:textId="447867A9" w:rsidR="002D3843" w:rsidRPr="002C34C6" w:rsidRDefault="002D3843" w:rsidP="002C34C6">
      <w:pPr>
        <w:pStyle w:val="a3"/>
        <w:ind w:firstLine="567"/>
        <w:contextualSpacing/>
        <w:jc w:val="both"/>
        <w:rPr>
          <w:bCs/>
          <w:sz w:val="28"/>
          <w:szCs w:val="28"/>
          <w:lang w:val="uk-UA"/>
        </w:rPr>
      </w:pPr>
      <w:r w:rsidRPr="002C34C6">
        <w:rPr>
          <w:bCs/>
          <w:sz w:val="28"/>
          <w:szCs w:val="28"/>
          <w:lang w:val="uk-UA"/>
        </w:rPr>
        <w:t>Отже, згідно з вищенаведеними приписами правових норм національного законодавства і положень актів міжнародного права, ратифікованих Україною, культурна спадщина перебуває під охороною закону, а держава забезпечує збереження об’єктів, що становлять культурну цінність, до яких Закон України «Про охорону культурної спадщини» відносить й території,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 зокрема, історичні ареали населених місць.</w:t>
      </w:r>
    </w:p>
    <w:p w14:paraId="49C19D9A" w14:textId="6490B384" w:rsidR="002D3843" w:rsidRPr="002C34C6" w:rsidRDefault="002D3843" w:rsidP="002C34C6">
      <w:pPr>
        <w:pStyle w:val="a3"/>
        <w:ind w:firstLine="567"/>
        <w:contextualSpacing/>
        <w:jc w:val="both"/>
        <w:rPr>
          <w:bCs/>
          <w:sz w:val="28"/>
          <w:szCs w:val="28"/>
          <w:lang w:val="uk-UA"/>
        </w:rPr>
      </w:pPr>
      <w:r w:rsidRPr="002C34C6">
        <w:rPr>
          <w:bCs/>
          <w:sz w:val="28"/>
          <w:szCs w:val="28"/>
          <w:lang w:val="uk-UA"/>
        </w:rPr>
        <w:t>Збереження об’єктів культурної спадщини, їх охорона, яка полягає, у тому числі, у запобіганні їхньому руйнуванню або заподіянню шкоди, зокрема, у результаті здійснення несанкціонованої господарської діяльності, забезпеченні захисту традиційного характеру середовища в інтересах нинішнього і майбутніх поколінь є одним із пріоритетних та головних завдань органів державної влади та органів місцевого самоврядування.</w:t>
      </w:r>
    </w:p>
    <w:p w14:paraId="23C7FAFB" w14:textId="46168BE9" w:rsidR="002D3843" w:rsidRPr="002C34C6" w:rsidRDefault="002D3843" w:rsidP="002C34C6">
      <w:pPr>
        <w:pStyle w:val="a3"/>
        <w:ind w:firstLine="567"/>
        <w:contextualSpacing/>
        <w:jc w:val="both"/>
        <w:rPr>
          <w:bCs/>
          <w:sz w:val="28"/>
          <w:szCs w:val="28"/>
          <w:lang w:val="uk-UA"/>
        </w:rPr>
      </w:pPr>
      <w:r w:rsidRPr="002C34C6">
        <w:rPr>
          <w:bCs/>
          <w:sz w:val="28"/>
          <w:szCs w:val="28"/>
          <w:lang w:val="uk-UA"/>
        </w:rPr>
        <w:lastRenderedPageBreak/>
        <w:t>При цьому Україною взято міжнародне зобов’язання визнавати громадський інтерес до культурної спадщини відповідно до її значення для суспільства, сприяти захистові культурної спадщини як важливого фактору для спільних цілей сталого розвитку, культурного різноманіття й сучасної творчості, визнавати цінність культурної спадщини, яка знаходиться на її території як в цілому, так і у певних населених пунктах – історичних населених містах України.</w:t>
      </w:r>
    </w:p>
    <w:p w14:paraId="49F44773" w14:textId="6AACBA21" w:rsidR="002D3843" w:rsidRPr="002C34C6" w:rsidRDefault="002D3843" w:rsidP="002C34C6">
      <w:pPr>
        <w:pStyle w:val="a3"/>
        <w:ind w:firstLine="567"/>
        <w:contextualSpacing/>
        <w:jc w:val="both"/>
        <w:rPr>
          <w:bCs/>
          <w:sz w:val="28"/>
          <w:szCs w:val="28"/>
          <w:lang w:val="uk-UA"/>
        </w:rPr>
      </w:pPr>
      <w:r w:rsidRPr="002C34C6">
        <w:rPr>
          <w:bCs/>
          <w:sz w:val="28"/>
          <w:szCs w:val="28"/>
          <w:lang w:val="uk-UA"/>
        </w:rPr>
        <w:t>З метою захисту традиційного характеру середовища населених місць України та на виконання статті 32 Закону України «Про охорону культурної спадщини» постановою Кабінету Міністрів України від 26 липня 2001 року № 878 затверджено Список історичних населених міст України (міста і селища міського типу), до якого внесено і місто Київ.</w:t>
      </w:r>
    </w:p>
    <w:p w14:paraId="3B65DF91" w14:textId="004C6758" w:rsidR="002D3843" w:rsidRPr="002C34C6" w:rsidRDefault="002D3843" w:rsidP="002C34C6">
      <w:pPr>
        <w:pStyle w:val="a3"/>
        <w:ind w:firstLine="567"/>
        <w:contextualSpacing/>
        <w:jc w:val="both"/>
        <w:rPr>
          <w:bCs/>
          <w:sz w:val="28"/>
          <w:szCs w:val="28"/>
          <w:lang w:val="uk-UA"/>
        </w:rPr>
      </w:pPr>
      <w:r w:rsidRPr="002C34C6">
        <w:rPr>
          <w:bCs/>
          <w:sz w:val="28"/>
          <w:szCs w:val="28"/>
          <w:lang w:val="uk-UA"/>
        </w:rPr>
        <w:t>Абзацами першим–третім пункту 2 вказаної постанови Кабінету Міністрів України Державному комітетові будівництва, архітектури та житлової політики разом з Радою міністрів Автономної Республіки Крим, обласними, Київською та Севастопольською міськими державними адміністраціями постановлено забезпечити протягом 2001–2003 років розроблення та затвердження науково-проектної документації з визначення меж історичних ареалів населених місць, включених до зазначеного Списку.</w:t>
      </w:r>
    </w:p>
    <w:p w14:paraId="4E3EA0E1" w14:textId="0E254E26" w:rsidR="002D3843" w:rsidRPr="002C34C6" w:rsidRDefault="002D3843" w:rsidP="002C34C6">
      <w:pPr>
        <w:pStyle w:val="a3"/>
        <w:ind w:firstLine="567"/>
        <w:contextualSpacing/>
        <w:jc w:val="both"/>
        <w:rPr>
          <w:bCs/>
          <w:sz w:val="28"/>
          <w:szCs w:val="28"/>
          <w:lang w:val="uk-UA"/>
        </w:rPr>
      </w:pPr>
      <w:r w:rsidRPr="002C34C6">
        <w:rPr>
          <w:bCs/>
          <w:sz w:val="28"/>
          <w:szCs w:val="28"/>
          <w:lang w:val="uk-UA"/>
        </w:rPr>
        <w:t>28 березня 2002 року на IX сесії XXIII скликання Київською міською радою було прийнято рішення № 370/1804 «Про затвердження Генерального плану міста Києва та проекту планування його приміської зони на період до 2020 року».</w:t>
      </w:r>
    </w:p>
    <w:p w14:paraId="53AEC475" w14:textId="371CC23D" w:rsidR="002D3843" w:rsidRPr="002C34C6" w:rsidRDefault="009C2C95" w:rsidP="002C34C6">
      <w:pPr>
        <w:pStyle w:val="a3"/>
        <w:ind w:firstLine="567"/>
        <w:contextualSpacing/>
        <w:jc w:val="both"/>
        <w:rPr>
          <w:bCs/>
          <w:sz w:val="28"/>
          <w:szCs w:val="28"/>
          <w:lang w:val="uk-UA"/>
        </w:rPr>
      </w:pPr>
      <w:r w:rsidRPr="002C34C6">
        <w:rPr>
          <w:bCs/>
          <w:sz w:val="28"/>
          <w:szCs w:val="28"/>
          <w:lang w:val="uk-UA"/>
        </w:rPr>
        <w:t>Н</w:t>
      </w:r>
      <w:r w:rsidR="002D3843" w:rsidRPr="002C34C6">
        <w:rPr>
          <w:bCs/>
          <w:sz w:val="28"/>
          <w:szCs w:val="28"/>
          <w:lang w:val="uk-UA"/>
        </w:rPr>
        <w:t>орми Закону України «Про регулювання містобудівної діяльності», Порядку розроблення історико-архітектурного плану населеного пункту, затвердженого наказом Мінрегіону від 2 червня 2011 року № 64, та ДБН Б.2.2-3:2012 не були чинними на час ухвалення вищевказаного рішення Київською міською радою, однак на той час діяли, зокрема, Закон України від 20 квітня 2000 року № 1699-III «Про планування і забудову територій» та Закон України від 16 листопада 1992 року № 2780-XII «Про основи містобудування».</w:t>
      </w:r>
    </w:p>
    <w:p w14:paraId="72B3ABD8" w14:textId="1136EA5F" w:rsidR="002D3843" w:rsidRPr="002C34C6" w:rsidRDefault="002D3843" w:rsidP="002C34C6">
      <w:pPr>
        <w:pStyle w:val="a3"/>
        <w:ind w:firstLine="567"/>
        <w:contextualSpacing/>
        <w:jc w:val="both"/>
        <w:rPr>
          <w:bCs/>
          <w:sz w:val="28"/>
          <w:szCs w:val="28"/>
          <w:lang w:val="uk-UA"/>
        </w:rPr>
      </w:pPr>
      <w:r w:rsidRPr="002C34C6">
        <w:rPr>
          <w:bCs/>
          <w:sz w:val="28"/>
          <w:szCs w:val="28"/>
          <w:lang w:val="uk-UA"/>
        </w:rPr>
        <w:t>Зокрема, відповідно до частин першої, другої статті 10 Закону України «Про планування і забудову територій» (тут і далі у тексті у редакції, чинній станом на 28 березня 2002 року) планування територій на місцевому рівні забезпечується відповідними місцевими радами та їх виконавчими органами, Київською та Севастопольською міськими державними адміністраціями відповідно до їх повноважень, визначених законом, і полягає у розробленні та затвердженні генеральних планів населених пунктів, схем планування територій на місцевому рівні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14:paraId="71D47A85"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Розроблення, погодження та експертиза містобудівної документації провадяться згідно зі встановленими державними стандартами, нормами та правилами в порядку, визначеному законодавством.</w:t>
      </w:r>
    </w:p>
    <w:p w14:paraId="7F6D46A9" w14:textId="4DD3A1E8" w:rsidR="002D3843" w:rsidRPr="002C34C6" w:rsidRDefault="002D3843" w:rsidP="002C34C6">
      <w:pPr>
        <w:pStyle w:val="a3"/>
        <w:ind w:firstLine="567"/>
        <w:contextualSpacing/>
        <w:jc w:val="both"/>
        <w:rPr>
          <w:bCs/>
          <w:sz w:val="28"/>
          <w:szCs w:val="28"/>
          <w:lang w:val="uk-UA"/>
        </w:rPr>
      </w:pPr>
      <w:r w:rsidRPr="002C34C6">
        <w:rPr>
          <w:bCs/>
          <w:sz w:val="28"/>
          <w:szCs w:val="28"/>
          <w:lang w:val="uk-UA"/>
        </w:rPr>
        <w:t>За визначенням, наведеним у статті 1 Закону України «Про планування і забудову територій» генеральний план населеного пункту – містобудівна документація, яка визначає принципові вирішення розвитку, планування, забудови та іншого використання території населеного пункту.</w:t>
      </w:r>
    </w:p>
    <w:p w14:paraId="1E3CB576" w14:textId="74D9E1B6" w:rsidR="002D3843" w:rsidRPr="002C34C6" w:rsidRDefault="002D3843" w:rsidP="002C34C6">
      <w:pPr>
        <w:pStyle w:val="a3"/>
        <w:ind w:firstLine="567"/>
        <w:contextualSpacing/>
        <w:jc w:val="both"/>
        <w:rPr>
          <w:bCs/>
          <w:sz w:val="28"/>
          <w:szCs w:val="28"/>
          <w:lang w:val="uk-UA"/>
        </w:rPr>
      </w:pPr>
      <w:r w:rsidRPr="002C34C6">
        <w:rPr>
          <w:bCs/>
          <w:sz w:val="28"/>
          <w:szCs w:val="28"/>
          <w:lang w:val="uk-UA"/>
        </w:rPr>
        <w:lastRenderedPageBreak/>
        <w:t>Серед основних завдань планування і забудови територій стаття 2 вищезгаданого Закону визначала, зокрема: урахування державних, громадських і приватних інтересів під час планування, забудови та іншого використання територій; визначення і раціональне розташування, в тому числі, історико-культурних та інших територій і об’єктів; визначення територій, що мають особливу історико-культурну цінність, встановлення передбачених законодавством обмежень на їх планування, забудову та інше використання.</w:t>
      </w:r>
    </w:p>
    <w:p w14:paraId="1A0A3148" w14:textId="4085A224" w:rsidR="002D3843" w:rsidRPr="002C34C6" w:rsidRDefault="002D3843" w:rsidP="002C34C6">
      <w:pPr>
        <w:pStyle w:val="a3"/>
        <w:ind w:firstLine="567"/>
        <w:contextualSpacing/>
        <w:jc w:val="both"/>
        <w:rPr>
          <w:bCs/>
          <w:sz w:val="28"/>
          <w:szCs w:val="28"/>
          <w:lang w:val="uk-UA"/>
        </w:rPr>
      </w:pPr>
      <w:r w:rsidRPr="002C34C6">
        <w:rPr>
          <w:bCs/>
          <w:sz w:val="28"/>
          <w:szCs w:val="28"/>
          <w:lang w:val="uk-UA"/>
        </w:rPr>
        <w:t>За змістом статті 12 Закону України «Про планування і забудову територій» генеральним планом населеного пункту визначаються, окрім іншого: потреби в територіях для забудови та іншого використання; межі функціональних зон, пріоритетні та допустимі види використання та забудови територій; території, які мають будівельні, санітарно-гігієнічні, природоохоронні та інші обмеження їх використання.</w:t>
      </w:r>
    </w:p>
    <w:p w14:paraId="14116097" w14:textId="2D5AD250" w:rsidR="002D3843" w:rsidRPr="002C34C6" w:rsidRDefault="009C2C95" w:rsidP="002C34C6">
      <w:pPr>
        <w:pStyle w:val="a3"/>
        <w:ind w:firstLine="567"/>
        <w:contextualSpacing/>
        <w:jc w:val="both"/>
        <w:rPr>
          <w:bCs/>
          <w:sz w:val="28"/>
          <w:szCs w:val="28"/>
          <w:lang w:val="uk-UA"/>
        </w:rPr>
      </w:pPr>
      <w:r w:rsidRPr="002C34C6">
        <w:rPr>
          <w:bCs/>
          <w:sz w:val="28"/>
          <w:szCs w:val="28"/>
          <w:lang w:val="uk-UA"/>
        </w:rPr>
        <w:t>П</w:t>
      </w:r>
      <w:r w:rsidR="002D3843" w:rsidRPr="002C34C6">
        <w:rPr>
          <w:bCs/>
          <w:sz w:val="28"/>
          <w:szCs w:val="28"/>
          <w:lang w:val="uk-UA"/>
        </w:rPr>
        <w:t>ри здійсненні планування і забудови територій на місцевому рівні врахування громадських інтересів полягає у визначенні потреби територіальної громади в територіях, необхідних для розташування, утримання об’єктів житлово-комунального господарства, соціальної, інженерно-транспортної інфраструктури, вирішення інших завдань забезпечення сталого розвитку населеного пункту (частина перша статті 18 Закону України «Про планування і забудову територій»).</w:t>
      </w:r>
    </w:p>
    <w:p w14:paraId="79B334A1" w14:textId="5FA10E52" w:rsidR="002D3843" w:rsidRPr="002C34C6" w:rsidRDefault="002D3843" w:rsidP="002C34C6">
      <w:pPr>
        <w:pStyle w:val="a3"/>
        <w:ind w:firstLine="567"/>
        <w:contextualSpacing/>
        <w:jc w:val="both"/>
        <w:rPr>
          <w:bCs/>
          <w:sz w:val="28"/>
          <w:szCs w:val="28"/>
          <w:lang w:val="uk-UA"/>
        </w:rPr>
      </w:pPr>
      <w:r w:rsidRPr="002C34C6">
        <w:rPr>
          <w:bCs/>
          <w:sz w:val="28"/>
          <w:szCs w:val="28"/>
          <w:lang w:val="uk-UA"/>
        </w:rPr>
        <w:t>Правові, економічні, соціальні та організаційні засади містобудівної діяльності в Україні станом на момент затвердження Київською міською радою Генерального плану міста Києва та проекту планування його приміської зони на період до 2020 року визначались Законом України «Про основи містобудування», який відповідно до преамбули до цього Закону спрямований на формування повноцінного життєвого середовища, забезпечення при цьому охорони навколишнього природного оточення, раціонального природокористування та збереження культурної спадщини.</w:t>
      </w:r>
    </w:p>
    <w:p w14:paraId="6AF6F208" w14:textId="4BF1F679" w:rsidR="002D3843" w:rsidRPr="002C34C6" w:rsidRDefault="002D3843" w:rsidP="002C34C6">
      <w:pPr>
        <w:pStyle w:val="a3"/>
        <w:ind w:firstLine="567"/>
        <w:contextualSpacing/>
        <w:jc w:val="both"/>
        <w:rPr>
          <w:bCs/>
          <w:sz w:val="28"/>
          <w:szCs w:val="28"/>
          <w:lang w:val="uk-UA"/>
        </w:rPr>
      </w:pPr>
      <w:r w:rsidRPr="002C34C6">
        <w:rPr>
          <w:bCs/>
          <w:sz w:val="28"/>
          <w:szCs w:val="28"/>
          <w:lang w:val="uk-UA"/>
        </w:rPr>
        <w:t>Збереження пам’яток культурної спадщини у розумінні приписів статті 2 Закону України «Про основи містобудування» є одним з головних напрямів містобудівної діяльності, до яких також належать й планування, забудова та інше використання територій.</w:t>
      </w:r>
    </w:p>
    <w:p w14:paraId="1EB00C54" w14:textId="75942F3C" w:rsidR="002D3843" w:rsidRPr="002C34C6" w:rsidRDefault="002D3843" w:rsidP="002C34C6">
      <w:pPr>
        <w:pStyle w:val="a3"/>
        <w:ind w:firstLine="567"/>
        <w:contextualSpacing/>
        <w:jc w:val="both"/>
        <w:rPr>
          <w:bCs/>
          <w:sz w:val="28"/>
          <w:szCs w:val="28"/>
          <w:lang w:val="uk-UA"/>
        </w:rPr>
      </w:pPr>
      <w:r w:rsidRPr="002C34C6">
        <w:rPr>
          <w:bCs/>
          <w:sz w:val="28"/>
          <w:szCs w:val="28"/>
          <w:lang w:val="uk-UA"/>
        </w:rPr>
        <w:t>Абзацами першим–п’ятим статті 5 Закону України «Про основи містобудування» встановлено, що при здійсненні містобудівної діяльності повинні бути забезпечені охорона культурної спадщини, збереження традиційного характеру середовища населених пунктів.</w:t>
      </w:r>
    </w:p>
    <w:p w14:paraId="62D5A9E3" w14:textId="0DD30E1C" w:rsidR="002D3843" w:rsidRPr="002C34C6" w:rsidRDefault="002D3843" w:rsidP="002C34C6">
      <w:pPr>
        <w:pStyle w:val="a3"/>
        <w:ind w:firstLine="567"/>
        <w:contextualSpacing/>
        <w:jc w:val="both"/>
        <w:rPr>
          <w:bCs/>
          <w:sz w:val="28"/>
          <w:szCs w:val="28"/>
          <w:lang w:val="uk-UA"/>
        </w:rPr>
      </w:pPr>
      <w:r w:rsidRPr="002C34C6">
        <w:rPr>
          <w:bCs/>
          <w:sz w:val="28"/>
          <w:szCs w:val="28"/>
          <w:lang w:val="uk-UA"/>
        </w:rPr>
        <w:t>Затвердження відповідно до законодавства місцевих містобудівних програм, генеральних планів відповідних населених пунктів, іншої містобудівної документації статтею 12 вищенаведеного Закону віднесено до компетенції сільських, селищних, міських рад у сфері містобудування на їх території.</w:t>
      </w:r>
    </w:p>
    <w:p w14:paraId="39E34C39" w14:textId="7A6DA7F0" w:rsidR="002D3843" w:rsidRPr="002C34C6" w:rsidRDefault="002D3843" w:rsidP="002C34C6">
      <w:pPr>
        <w:pStyle w:val="a3"/>
        <w:ind w:firstLine="567"/>
        <w:contextualSpacing/>
        <w:jc w:val="both"/>
        <w:rPr>
          <w:bCs/>
          <w:sz w:val="28"/>
          <w:szCs w:val="28"/>
          <w:lang w:val="uk-UA"/>
        </w:rPr>
      </w:pPr>
      <w:r w:rsidRPr="002C34C6">
        <w:rPr>
          <w:bCs/>
          <w:sz w:val="28"/>
          <w:szCs w:val="28"/>
          <w:lang w:val="uk-UA"/>
        </w:rPr>
        <w:t>Станом на момент затвердження Генерального плану міста Києва до 2020 року вимоги до складу, змісту, порядку розроблення, погодження і затвердження містобудівної документації з планування території міст і селищ, зокрема, генеральних планів, встановлювалися ДБН Б.1-3-97 «Склад, зміст, порядок розроблення, погодження та затвердження генеральних планів міських населених пунктів», затверджених наказом Держбуду України 25 вересня 1997 року № 164.</w:t>
      </w:r>
    </w:p>
    <w:p w14:paraId="5FEFE99E" w14:textId="049DF160" w:rsidR="002D3843" w:rsidRPr="002C34C6" w:rsidRDefault="002D3843" w:rsidP="002C34C6">
      <w:pPr>
        <w:pStyle w:val="a3"/>
        <w:ind w:firstLine="567"/>
        <w:contextualSpacing/>
        <w:jc w:val="both"/>
        <w:rPr>
          <w:bCs/>
          <w:sz w:val="28"/>
          <w:szCs w:val="28"/>
          <w:lang w:val="uk-UA"/>
        </w:rPr>
      </w:pPr>
      <w:r w:rsidRPr="002C34C6">
        <w:rPr>
          <w:bCs/>
          <w:sz w:val="28"/>
          <w:szCs w:val="28"/>
          <w:lang w:val="uk-UA"/>
        </w:rPr>
        <w:lastRenderedPageBreak/>
        <w:t>За змістом визначення, наведеного у пункті 1.1 вищевказаних ДБН, генеральний план міста, селища є основним планувальним документом, який встановлює в інтересах населення та з врахуванням державних завдань напрямки і межі територіального розвитку населеного пункту, функціональне призначення і будівельне зонування території, містить принципові рішення, в тому числі, щодо охорони природи та історико-культурної спадщини.</w:t>
      </w:r>
    </w:p>
    <w:p w14:paraId="11E2341C" w14:textId="5131F844" w:rsidR="002D3843" w:rsidRPr="002C34C6" w:rsidRDefault="002D3843" w:rsidP="002C34C6">
      <w:pPr>
        <w:pStyle w:val="a3"/>
        <w:ind w:firstLine="567"/>
        <w:contextualSpacing/>
        <w:jc w:val="both"/>
        <w:rPr>
          <w:bCs/>
          <w:sz w:val="28"/>
          <w:szCs w:val="28"/>
          <w:lang w:val="uk-UA"/>
        </w:rPr>
      </w:pPr>
      <w:r w:rsidRPr="002C34C6">
        <w:rPr>
          <w:bCs/>
          <w:sz w:val="28"/>
          <w:szCs w:val="28"/>
          <w:lang w:val="uk-UA"/>
        </w:rPr>
        <w:t>З приписів пункту 1.3 ДБН Б.1-3-97 також вбачається, що матеріали генерального плану використовуються як вихідні дані, у тому числі, при розробленні схем і програм охорони пам’яток історії і культури.</w:t>
      </w:r>
    </w:p>
    <w:p w14:paraId="2DF5C441" w14:textId="44BD5CB4" w:rsidR="002D3843" w:rsidRPr="002C34C6" w:rsidRDefault="002D3843" w:rsidP="002C34C6">
      <w:pPr>
        <w:pStyle w:val="a3"/>
        <w:ind w:firstLine="567"/>
        <w:contextualSpacing/>
        <w:jc w:val="both"/>
        <w:rPr>
          <w:bCs/>
          <w:sz w:val="28"/>
          <w:szCs w:val="28"/>
          <w:lang w:val="uk-UA"/>
        </w:rPr>
      </w:pPr>
      <w:r w:rsidRPr="002C34C6">
        <w:rPr>
          <w:bCs/>
          <w:sz w:val="28"/>
          <w:szCs w:val="28"/>
          <w:lang w:val="uk-UA"/>
        </w:rPr>
        <w:t>Генеральний план повинен відповідати вимогам щодо збереження історико-культурної спадщини (абзаци перший, восьмий пункту 1.4 ДБН Б.1-3-97).</w:t>
      </w:r>
    </w:p>
    <w:p w14:paraId="4876C04A" w14:textId="35D4790B" w:rsidR="002D3843" w:rsidRPr="002C34C6" w:rsidRDefault="002D3843" w:rsidP="002C34C6">
      <w:pPr>
        <w:pStyle w:val="a3"/>
        <w:ind w:firstLine="567"/>
        <w:contextualSpacing/>
        <w:jc w:val="both"/>
        <w:rPr>
          <w:bCs/>
          <w:sz w:val="28"/>
          <w:szCs w:val="28"/>
          <w:lang w:val="uk-UA"/>
        </w:rPr>
      </w:pPr>
      <w:r w:rsidRPr="002C34C6">
        <w:rPr>
          <w:bCs/>
          <w:sz w:val="28"/>
          <w:szCs w:val="28"/>
          <w:lang w:val="uk-UA"/>
        </w:rPr>
        <w:t>Згідно з положеннями абзацу першого пункту 1.5 цих же ДБН генеральний план є комплексним планувальним документом. Його положення базуються на аналізі і прогнозуванні й історико-культурних факторів і орієнтовані виключно на вирішення питань планування території населеного пункту.</w:t>
      </w:r>
    </w:p>
    <w:p w14:paraId="0EBBA616" w14:textId="14BEEAF0" w:rsidR="002D3843" w:rsidRPr="002C34C6" w:rsidRDefault="002D3843" w:rsidP="002C34C6">
      <w:pPr>
        <w:pStyle w:val="a3"/>
        <w:ind w:firstLine="567"/>
        <w:contextualSpacing/>
        <w:jc w:val="both"/>
        <w:rPr>
          <w:bCs/>
          <w:sz w:val="28"/>
          <w:szCs w:val="28"/>
          <w:lang w:val="uk-UA"/>
        </w:rPr>
      </w:pPr>
      <w:r w:rsidRPr="002C34C6">
        <w:rPr>
          <w:bCs/>
          <w:sz w:val="28"/>
          <w:szCs w:val="28"/>
          <w:lang w:val="uk-UA"/>
        </w:rPr>
        <w:t>Відповідно до підпункту 3.5.1 ДБН Б.1-3-97 у аналітичній частині генерального плану містяться дані, зокрема, про економіко-географічні та соціально-демографічні передумови розвитку, функціонально-планувальні зв’язки з іншими населеними пунктами, адміністративний статус населеного пункту, його історико-культурна спадщина.</w:t>
      </w:r>
    </w:p>
    <w:p w14:paraId="4FDF4D3E" w14:textId="0E3DCB96" w:rsidR="002D3843" w:rsidRPr="002C34C6" w:rsidRDefault="002D3843" w:rsidP="002C34C6">
      <w:pPr>
        <w:pStyle w:val="a3"/>
        <w:ind w:firstLine="567"/>
        <w:contextualSpacing/>
        <w:jc w:val="both"/>
        <w:rPr>
          <w:bCs/>
          <w:sz w:val="28"/>
          <w:szCs w:val="28"/>
          <w:lang w:val="uk-UA"/>
        </w:rPr>
      </w:pPr>
      <w:r w:rsidRPr="002C34C6">
        <w:rPr>
          <w:bCs/>
          <w:sz w:val="28"/>
          <w:szCs w:val="28"/>
          <w:lang w:val="uk-UA"/>
        </w:rPr>
        <w:t>У залежності від особливостей населених пунктів (природних, історико-культурних, інженерно-геологічних, планувальних тощо) в складі генерального плану виконуються додаткові матеріали, а саме: історико-архітектурний та історико-містобудівний плани; схеми магістралей міського та зовнішнього транспорту, інженерного обладнання, заходів з інженерної підготовки територій; схема планувальної структури та економіко-містобудівного районування населеного пункту тощо (примітка 1 до таблиці 1 пункту 3.8 ДБН Б.1-3-97).</w:t>
      </w:r>
    </w:p>
    <w:p w14:paraId="44A326A7" w14:textId="6EE86719" w:rsidR="002D3843" w:rsidRPr="002C34C6" w:rsidRDefault="002D3843" w:rsidP="002C34C6">
      <w:pPr>
        <w:pStyle w:val="a3"/>
        <w:ind w:firstLine="567"/>
        <w:contextualSpacing/>
        <w:jc w:val="both"/>
        <w:rPr>
          <w:bCs/>
          <w:sz w:val="28"/>
          <w:szCs w:val="28"/>
          <w:lang w:val="uk-UA"/>
        </w:rPr>
      </w:pPr>
      <w:r w:rsidRPr="002C34C6">
        <w:rPr>
          <w:bCs/>
          <w:sz w:val="28"/>
          <w:szCs w:val="28"/>
          <w:lang w:val="uk-UA"/>
        </w:rPr>
        <w:t>Схема планувальних обмежень виконується на топографічній основі. На кресленні відображаються території, до яких законодавством та державними нормами встановлені відповідні обмеження на їх використання, зокрема, охоронні зони природних заповідників, пам’яток природи, архітектури, історії і культури та зони регулювання забудови, ландшафтів, які охороняються (підпункт «К» пункту 3.10 ДБН Б.1-3-97).</w:t>
      </w:r>
    </w:p>
    <w:p w14:paraId="420EBA6C" w14:textId="4430AAE7" w:rsidR="002D3843" w:rsidRPr="002C34C6" w:rsidRDefault="002D3843" w:rsidP="002C34C6">
      <w:pPr>
        <w:pStyle w:val="a3"/>
        <w:ind w:firstLine="567"/>
        <w:contextualSpacing/>
        <w:jc w:val="both"/>
        <w:rPr>
          <w:bCs/>
          <w:sz w:val="28"/>
          <w:szCs w:val="28"/>
          <w:lang w:val="uk-UA"/>
        </w:rPr>
      </w:pPr>
      <w:r w:rsidRPr="002C34C6">
        <w:rPr>
          <w:bCs/>
          <w:sz w:val="28"/>
          <w:szCs w:val="28"/>
          <w:lang w:val="uk-UA"/>
        </w:rPr>
        <w:t>Підпунктом «й» пункту 3.12 вказаних ДБН також визначено, що на основному кресленні генерального плану вказують існуючий стан та пропозиції щодо архітектурно-планувальної організації і функціонального зонування, використання та забудови територій населеного пункту, а саме природоохоронні, оздоровчі, рекреаційні, історико-культурні території.</w:t>
      </w:r>
    </w:p>
    <w:p w14:paraId="4A128E56" w14:textId="59878638" w:rsidR="002D3843" w:rsidRPr="002C34C6" w:rsidRDefault="002D3843" w:rsidP="002C34C6">
      <w:pPr>
        <w:pStyle w:val="a3"/>
        <w:ind w:firstLine="567"/>
        <w:contextualSpacing/>
        <w:jc w:val="both"/>
        <w:rPr>
          <w:bCs/>
          <w:sz w:val="28"/>
          <w:szCs w:val="28"/>
          <w:lang w:val="uk-UA"/>
        </w:rPr>
      </w:pPr>
      <w:r w:rsidRPr="002C34C6">
        <w:rPr>
          <w:bCs/>
          <w:sz w:val="28"/>
          <w:szCs w:val="28"/>
          <w:lang w:val="uk-UA"/>
        </w:rPr>
        <w:t>Як встановлено пунктом 5.6 ДБН Б.1-3-97 в залежності від умов фінансування генеральний план може виконуватися в один або декілька етапів, на яких здійснюється: - розроблення плану існуючого населеного пункту (опорний план), історико-архітектурного та історико-містобудівного опорних планів, схеми планувальних обмежень, пояснювальної записки (характеристика сучасного стану), концепції генерального плану (при розробленні цього розділу у складі генерального плану).</w:t>
      </w:r>
    </w:p>
    <w:p w14:paraId="44EB4F8F" w14:textId="71805258" w:rsidR="002D3843" w:rsidRPr="002C34C6" w:rsidRDefault="002D3843" w:rsidP="002C34C6">
      <w:pPr>
        <w:pStyle w:val="a3"/>
        <w:ind w:firstLine="567"/>
        <w:contextualSpacing/>
        <w:jc w:val="both"/>
        <w:rPr>
          <w:bCs/>
          <w:sz w:val="28"/>
          <w:szCs w:val="28"/>
          <w:lang w:val="uk-UA"/>
        </w:rPr>
      </w:pPr>
      <w:r w:rsidRPr="002C34C6">
        <w:rPr>
          <w:bCs/>
          <w:sz w:val="28"/>
          <w:szCs w:val="28"/>
          <w:lang w:val="uk-UA"/>
        </w:rPr>
        <w:lastRenderedPageBreak/>
        <w:t>Дані про матеріали охоронних зон та зон регулювання забудови пам’яток історії і культури, опорні історико-архітектурний та історико-містобудівний плани (за даними управління (відділу) культури, управління містобудування і архітектури держадміністрації органу місцевого самоврядування) включаються й до складу завдання на розробку генерального плану міста, як це передбачено підпунктом «е» пункту 6.2 розділу 6 ДБН Б.1-3-97.</w:t>
      </w:r>
    </w:p>
    <w:p w14:paraId="12580462" w14:textId="6CBEE795" w:rsidR="002D3843" w:rsidRPr="002C34C6" w:rsidRDefault="009F3D35" w:rsidP="002C34C6">
      <w:pPr>
        <w:pStyle w:val="a3"/>
        <w:ind w:firstLine="567"/>
        <w:contextualSpacing/>
        <w:jc w:val="both"/>
        <w:rPr>
          <w:bCs/>
          <w:sz w:val="28"/>
          <w:szCs w:val="28"/>
          <w:lang w:val="uk-UA"/>
        </w:rPr>
      </w:pPr>
      <w:r w:rsidRPr="002C34C6">
        <w:rPr>
          <w:bCs/>
          <w:sz w:val="28"/>
          <w:szCs w:val="28"/>
          <w:lang w:val="uk-UA"/>
        </w:rPr>
        <w:t xml:space="preserve">За правилами пункту 2.5 розділу 1 та пункту 11.7 розділу 11 </w:t>
      </w:r>
      <w:r w:rsidR="002D3843" w:rsidRPr="002C34C6">
        <w:rPr>
          <w:bCs/>
          <w:sz w:val="28"/>
          <w:szCs w:val="28"/>
          <w:lang w:val="uk-UA"/>
        </w:rPr>
        <w:t>ДБН 360-92** «Містобудування. Планування і забудова міських і сільських поселень», затверджених наказом Держкоммістобудування 17.04.1992 № 44, удосконалення і розвиток планувальної структури міста слід пов’язувати з історичною зоною міста, його історико-архітектурним опорним планом і зонами охорони пам’яток історії, культури і природи (розділ 11 «Охорона історичного середовища, пам’яток історії та культури»).</w:t>
      </w:r>
    </w:p>
    <w:p w14:paraId="55ACD880"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Проекти планування і забудови міст, селищ і сільських поселень з цінною історико-культурною спадщиною можуть виконуватися тільки після відповідних передпроектних досліджень, на основі яких складаються історико-архітектурні плани і проекти зон охорони пам’яток історії та культури цих поселень. Ці документи як обов’язкові входять до складу генеральних планів.</w:t>
      </w:r>
    </w:p>
    <w:p w14:paraId="62FA897A" w14:textId="71855C32" w:rsidR="002D3843" w:rsidRPr="002C34C6" w:rsidRDefault="002D3843" w:rsidP="002C34C6">
      <w:pPr>
        <w:pStyle w:val="a3"/>
        <w:ind w:firstLine="567"/>
        <w:contextualSpacing/>
        <w:jc w:val="both"/>
        <w:rPr>
          <w:bCs/>
          <w:sz w:val="28"/>
          <w:szCs w:val="28"/>
          <w:lang w:val="uk-UA"/>
        </w:rPr>
      </w:pPr>
      <w:r w:rsidRPr="002C34C6">
        <w:rPr>
          <w:bCs/>
          <w:sz w:val="28"/>
          <w:szCs w:val="28"/>
          <w:lang w:val="uk-UA"/>
        </w:rPr>
        <w:t>Такі приписи ДБН 360-92** також були чинними станом на момент затвердження Генерального плану міста Києва та проекту планування його приміської зони на період до 2020 року.</w:t>
      </w:r>
    </w:p>
    <w:p w14:paraId="40790B80" w14:textId="476E45C2" w:rsidR="002D3843" w:rsidRPr="002C34C6" w:rsidRDefault="002D3843" w:rsidP="002C34C6">
      <w:pPr>
        <w:pStyle w:val="a3"/>
        <w:ind w:firstLine="567"/>
        <w:contextualSpacing/>
        <w:jc w:val="both"/>
        <w:rPr>
          <w:bCs/>
          <w:sz w:val="28"/>
          <w:szCs w:val="28"/>
          <w:lang w:val="uk-UA"/>
        </w:rPr>
      </w:pPr>
      <w:r w:rsidRPr="002C34C6">
        <w:rPr>
          <w:bCs/>
          <w:sz w:val="28"/>
          <w:szCs w:val="28"/>
          <w:lang w:val="uk-UA"/>
        </w:rPr>
        <w:t>Генеральний план міста Києва є основним планувальним документом, який містить принципові рішення, в тому числі, щодо охорони природи та історико-культурної спадщини та повинен відповідати вимогам щодо збереження історико-культурної спадщини.</w:t>
      </w:r>
    </w:p>
    <w:p w14:paraId="7EBB02D7" w14:textId="56F6B211"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Ураховуючи особливий правовий статус міста Києва як міста з цінною історико-культурною спадщиною, занесеного до Спису історичних населених міст України, у його складі повинні обов’язково виконуватися додаткові матеріали, а саме: історико-архітектурний та історико-містобудівний плани, у яких з метою захисту традиційного характеру середовища визначаються, зокрема, території, що мають особливу історико-культурну цінність, у тому числі й </w:t>
      </w:r>
      <w:r w:rsidR="004047CC" w:rsidRPr="002C34C6">
        <w:rPr>
          <w:bCs/>
          <w:sz w:val="28"/>
          <w:szCs w:val="28"/>
          <w:lang w:val="uk-UA"/>
        </w:rPr>
        <w:t>і</w:t>
      </w:r>
      <w:r w:rsidRPr="002C34C6">
        <w:rPr>
          <w:bCs/>
          <w:sz w:val="28"/>
          <w:szCs w:val="28"/>
          <w:lang w:val="uk-UA"/>
        </w:rPr>
        <w:t>сторичні ареали міста Києва, позначаються межі цих територій у вигляді графічних матеріалів.</w:t>
      </w:r>
    </w:p>
    <w:p w14:paraId="6768EE09" w14:textId="6651EFED" w:rsidR="002D3843" w:rsidRPr="002C34C6" w:rsidRDefault="002D3843" w:rsidP="002C34C6">
      <w:pPr>
        <w:pStyle w:val="a3"/>
        <w:ind w:firstLine="567"/>
        <w:contextualSpacing/>
        <w:jc w:val="both"/>
        <w:rPr>
          <w:bCs/>
          <w:sz w:val="28"/>
          <w:szCs w:val="28"/>
          <w:lang w:val="uk-UA"/>
        </w:rPr>
      </w:pPr>
      <w:r w:rsidRPr="002C34C6">
        <w:rPr>
          <w:bCs/>
          <w:sz w:val="28"/>
          <w:szCs w:val="28"/>
          <w:lang w:val="uk-UA"/>
        </w:rPr>
        <w:t>Відповідно до розділу 7 «Збереження та охорона історико-культурної спадщини» текстової частини Генерального плану міста Києва до 2020 року, затвердженого рішенням Київської міської ради №370/1804 від 28 березня 2002 року, на історико-містобудівному плані позначено: межі історичних районів та історичних ареалів міста, історико-архітектурних та історико-культурних заповідників.</w:t>
      </w:r>
    </w:p>
    <w:p w14:paraId="3F80B9E5" w14:textId="0D6F05A3" w:rsidR="002D3843" w:rsidRPr="002C34C6" w:rsidRDefault="002D3843" w:rsidP="002C34C6">
      <w:pPr>
        <w:pStyle w:val="a3"/>
        <w:ind w:firstLine="567"/>
        <w:contextualSpacing/>
        <w:jc w:val="both"/>
        <w:rPr>
          <w:bCs/>
          <w:sz w:val="28"/>
          <w:szCs w:val="28"/>
          <w:lang w:val="uk-UA"/>
        </w:rPr>
      </w:pPr>
      <w:r w:rsidRPr="002C34C6">
        <w:rPr>
          <w:bCs/>
          <w:sz w:val="28"/>
          <w:szCs w:val="28"/>
          <w:lang w:val="uk-UA"/>
        </w:rPr>
        <w:t>Графічний матеріал Генерального плану – додаток до Генерального плану міста Києва «Історико-містобудівний опорний план міста», міститься також в загальному доступі в мережі Інтернет.</w:t>
      </w:r>
    </w:p>
    <w:p w14:paraId="48684BE0" w14:textId="6F9D5E5B" w:rsidR="002D3843" w:rsidRPr="002C34C6" w:rsidRDefault="009F3D35" w:rsidP="002C34C6">
      <w:pPr>
        <w:pStyle w:val="a3"/>
        <w:ind w:firstLine="567"/>
        <w:contextualSpacing/>
        <w:jc w:val="both"/>
        <w:rPr>
          <w:bCs/>
          <w:sz w:val="28"/>
          <w:szCs w:val="28"/>
          <w:lang w:val="uk-UA"/>
        </w:rPr>
      </w:pPr>
      <w:r w:rsidRPr="002C34C6">
        <w:rPr>
          <w:bCs/>
          <w:sz w:val="28"/>
          <w:szCs w:val="28"/>
          <w:lang w:val="uk-UA"/>
        </w:rPr>
        <w:t>Н</w:t>
      </w:r>
      <w:r w:rsidR="002D3843" w:rsidRPr="002C34C6">
        <w:rPr>
          <w:bCs/>
          <w:sz w:val="28"/>
          <w:szCs w:val="28"/>
          <w:lang w:val="uk-UA"/>
        </w:rPr>
        <w:t xml:space="preserve">а підставі вищезазначеного, </w:t>
      </w:r>
      <w:r w:rsidRPr="002C34C6">
        <w:rPr>
          <w:bCs/>
          <w:sz w:val="28"/>
          <w:szCs w:val="28"/>
          <w:lang w:val="uk-UA"/>
        </w:rPr>
        <w:t>можна дійти</w:t>
      </w:r>
      <w:r w:rsidR="002D3843" w:rsidRPr="002C34C6">
        <w:rPr>
          <w:bCs/>
          <w:sz w:val="28"/>
          <w:szCs w:val="28"/>
          <w:lang w:val="uk-UA"/>
        </w:rPr>
        <w:t xml:space="preserve"> висновку, що межі </w:t>
      </w:r>
      <w:r w:rsidR="004047CC" w:rsidRPr="002C34C6">
        <w:rPr>
          <w:bCs/>
          <w:sz w:val="28"/>
          <w:szCs w:val="28"/>
          <w:lang w:val="uk-UA"/>
        </w:rPr>
        <w:t>І</w:t>
      </w:r>
      <w:r w:rsidR="002D3843" w:rsidRPr="002C34C6">
        <w:rPr>
          <w:bCs/>
          <w:sz w:val="28"/>
          <w:szCs w:val="28"/>
          <w:lang w:val="uk-UA"/>
        </w:rPr>
        <w:t xml:space="preserve">сторичного ареалу міста Києва були закріплені на нормативному рівні згідно з історико-містобудівним опорним планом міста Києва, який входить до складу «Генерального плану міста Києва» та проекту планування його приміської зони на </w:t>
      </w:r>
      <w:r w:rsidR="002D3843" w:rsidRPr="002C34C6">
        <w:rPr>
          <w:bCs/>
          <w:sz w:val="28"/>
          <w:szCs w:val="28"/>
          <w:lang w:val="uk-UA"/>
        </w:rPr>
        <w:lastRenderedPageBreak/>
        <w:t>період до 2020 року», затвердженого рішенням Київської міської ради від 28 березня 2002 року № 370/1804.</w:t>
      </w:r>
    </w:p>
    <w:p w14:paraId="6433A75D" w14:textId="304A7433" w:rsidR="002D3843" w:rsidRPr="002C34C6" w:rsidRDefault="002D3843" w:rsidP="002C34C6">
      <w:pPr>
        <w:pStyle w:val="a3"/>
        <w:ind w:firstLine="567"/>
        <w:contextualSpacing/>
        <w:jc w:val="both"/>
        <w:rPr>
          <w:bCs/>
          <w:sz w:val="28"/>
          <w:szCs w:val="28"/>
          <w:lang w:val="uk-UA"/>
        </w:rPr>
      </w:pPr>
      <w:r w:rsidRPr="002C34C6">
        <w:rPr>
          <w:bCs/>
          <w:sz w:val="28"/>
          <w:szCs w:val="28"/>
          <w:lang w:val="uk-UA"/>
        </w:rPr>
        <w:t>Генеральний план міста Києва до 2020 року є нормативно-правовим актом, який офіційно оприлюднено, а історико-архітектурні опорні плани, у яких визначено межі історичних ареалів, є науково-проектною документацією, яка розробляється у складі генеральних планів історичних населених місць, є основою для проектних рішень у генеральних планах та детальних планах територій історичних населених місць. Проєкти реконструкції забудови та території історичних ареалів населених пунктів базуються на матеріалах історико-архітектурних опорних планів як науково-проектної документації з визначенням меж та режимів використання зон охорони пам’яток культурної спадщини.</w:t>
      </w:r>
    </w:p>
    <w:p w14:paraId="2CA89691" w14:textId="3598E600" w:rsidR="002D3843" w:rsidRPr="002C34C6" w:rsidRDefault="002D3843" w:rsidP="002C34C6">
      <w:pPr>
        <w:pStyle w:val="a3"/>
        <w:ind w:firstLine="567"/>
        <w:contextualSpacing/>
        <w:jc w:val="both"/>
        <w:rPr>
          <w:bCs/>
          <w:sz w:val="28"/>
          <w:szCs w:val="28"/>
          <w:lang w:val="uk-UA"/>
        </w:rPr>
      </w:pPr>
      <w:r w:rsidRPr="002C34C6">
        <w:rPr>
          <w:bCs/>
          <w:sz w:val="28"/>
          <w:szCs w:val="28"/>
          <w:lang w:val="uk-UA"/>
        </w:rPr>
        <w:t>Варто наголосити й на тому, що розробці та затвердженню Генерального плану міста Києва як нормативно – правового акта органу місцевого самоврядування передує його публічне обговорення із внесенням пропозицій до нього фізичними та юридичними особами і такий акт приймається в інтересах територіальної громади відповідного населеного пункту з урахуванням державних, громадських та приватних інтересів.</w:t>
      </w:r>
    </w:p>
    <w:p w14:paraId="5AA51536" w14:textId="700C69BA" w:rsidR="002D3843" w:rsidRPr="002C34C6" w:rsidRDefault="002D3843" w:rsidP="002C34C6">
      <w:pPr>
        <w:pStyle w:val="a3"/>
        <w:ind w:firstLine="567"/>
        <w:contextualSpacing/>
        <w:jc w:val="both"/>
        <w:rPr>
          <w:bCs/>
          <w:sz w:val="28"/>
          <w:szCs w:val="28"/>
          <w:lang w:val="uk-UA"/>
        </w:rPr>
      </w:pPr>
      <w:r w:rsidRPr="002C34C6">
        <w:rPr>
          <w:bCs/>
          <w:sz w:val="28"/>
          <w:szCs w:val="28"/>
          <w:lang w:val="uk-UA"/>
        </w:rPr>
        <w:t>Територіальна громада міста відповідно до частини першої статті 7 Закону України від 21 травня 1997 року № 280/97-ВР «Про місцеве самоврядування в Україні» визнається первинним суб'єктом місцевого самоврядування, основним носієм його функцій і повноважень.</w:t>
      </w:r>
    </w:p>
    <w:p w14:paraId="0201D442" w14:textId="5F5F8FD7" w:rsidR="002D3843" w:rsidRPr="002C34C6" w:rsidRDefault="002D3843" w:rsidP="002C34C6">
      <w:pPr>
        <w:pStyle w:val="a3"/>
        <w:ind w:firstLine="567"/>
        <w:contextualSpacing/>
        <w:jc w:val="both"/>
        <w:rPr>
          <w:bCs/>
          <w:sz w:val="28"/>
          <w:szCs w:val="28"/>
          <w:lang w:val="uk-UA"/>
        </w:rPr>
      </w:pPr>
      <w:r w:rsidRPr="002C34C6">
        <w:rPr>
          <w:bCs/>
          <w:sz w:val="28"/>
          <w:szCs w:val="28"/>
          <w:lang w:val="uk-UA"/>
        </w:rPr>
        <w:t>В Основному Законі України передбачено форми та засоби реалізації права територіальних громад на місцеве самоврядування і вказано, що органи місцевого самоврядування в межах повноважень, визначених законом, приймають рішення, які є обов'язковими до виконання на відповідній території (частина перша статті 144). На основі цього положення Конституції України в Законі визначено, що у формі рішень рада приймає нормативні та інші акти (частина перша статті 59). Проаналізувавши функції і повноваження органів місцевого самоврядування, врегульовані Конституцією України та іншими законами України, Конституційний Суд України дійшов висновку, що органи місцевого самоврядування, вирішуючи питання місцевого значення, представляючи спільні інтереси територіальних громад сіл, селищ та міст, приймають нормативні та ненормативні акти.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 Такий висновок узгоджується із правовими позиціями Конституційного Суду України, викладеними у рішеннях від 27 грудня 2001 року № 20-рп/2001 у справі про укази Президії Верховної Ради України щодо Компартії України, зареєстрованої 22 липня 1991 року (абзац перший пункту 6 мотивувальної частини), від 23 червня 1997 року № 2-зп у справі про акти органів Верховної Ради України (абзац четвертий пункту 1 мотивувальної частини).»</w:t>
      </w:r>
    </w:p>
    <w:p w14:paraId="1B38A7D1" w14:textId="023134E2"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Отже, розробляючи, приймаючи та затверджуючи Генеральний план міста Києва, Київська міська рада діяла як представницький орган місцевого </w:t>
      </w:r>
      <w:r w:rsidRPr="002C34C6">
        <w:rPr>
          <w:bCs/>
          <w:sz w:val="28"/>
          <w:szCs w:val="28"/>
          <w:lang w:val="uk-UA"/>
        </w:rPr>
        <w:lastRenderedPageBreak/>
        <w:t>самоврядування (такий статус визначено частиною першою статті 10 Закону України «Про місцеве самоврядування в Україні») та представляла територіальну громаду, здійснювала закріплені за нею повноваження щодо планування території міста від імені громади та в її інтересах, зокрема, у сфері охорони культурної спадщини.</w:t>
      </w:r>
    </w:p>
    <w:p w14:paraId="678ACD79" w14:textId="5F4E78EE" w:rsidR="002D3843" w:rsidRPr="002C34C6" w:rsidRDefault="002D3843" w:rsidP="002C34C6">
      <w:pPr>
        <w:pStyle w:val="a3"/>
        <w:ind w:firstLine="567"/>
        <w:contextualSpacing/>
        <w:jc w:val="both"/>
        <w:rPr>
          <w:bCs/>
          <w:sz w:val="28"/>
          <w:szCs w:val="28"/>
          <w:lang w:val="uk-UA"/>
        </w:rPr>
      </w:pPr>
      <w:r w:rsidRPr="002C34C6">
        <w:rPr>
          <w:bCs/>
          <w:sz w:val="28"/>
          <w:szCs w:val="28"/>
          <w:lang w:val="uk-UA"/>
        </w:rPr>
        <w:t>Оскільки Генеральний план міста Києва є нормативно-правовим актом органу місцевого самоврядування з питань планування території населеного пункту, він є обов'язковим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 як це встановлено частиною першою статті 73 Закону України «Про місцеве самоврядування в Україні».</w:t>
      </w:r>
    </w:p>
    <w:p w14:paraId="52F995EA" w14:textId="62756F70"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Необхідно враховувати й те, </w:t>
      </w:r>
      <w:r w:rsidR="009F3D35" w:rsidRPr="002C34C6">
        <w:rPr>
          <w:bCs/>
          <w:sz w:val="28"/>
          <w:szCs w:val="28"/>
          <w:lang w:val="uk-UA"/>
        </w:rPr>
        <w:t xml:space="preserve">що </w:t>
      </w:r>
      <w:r w:rsidRPr="002C34C6">
        <w:rPr>
          <w:bCs/>
          <w:sz w:val="28"/>
          <w:szCs w:val="28"/>
          <w:lang w:val="uk-UA"/>
        </w:rPr>
        <w:t>правовідносини охоплюються не лише відносини у сфері охорони культурної спадщини, а й відносин у сфері містобудівної діяльності, які регламентовані нормами спеціального законодавства, зокрема, Законом України «Про архітектурну діяльність», частина перша якого визначає, що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«Про регулювання містобудівної діяльності».</w:t>
      </w:r>
    </w:p>
    <w:p w14:paraId="4BF90E9E" w14:textId="53BECDEE" w:rsidR="002D3843" w:rsidRPr="002C34C6" w:rsidRDefault="002D3843" w:rsidP="002C34C6">
      <w:pPr>
        <w:pStyle w:val="a3"/>
        <w:ind w:firstLine="567"/>
        <w:contextualSpacing/>
        <w:jc w:val="both"/>
        <w:rPr>
          <w:bCs/>
          <w:sz w:val="28"/>
          <w:szCs w:val="28"/>
          <w:lang w:val="uk-UA"/>
        </w:rPr>
      </w:pPr>
      <w:r w:rsidRPr="002C34C6">
        <w:rPr>
          <w:bCs/>
          <w:sz w:val="28"/>
          <w:szCs w:val="28"/>
          <w:lang w:val="uk-UA"/>
        </w:rPr>
        <w:t>Обов’язковість дотримання вимог містобудівної документації, зокрема й вимог генеральних планів населених пунктів, всіма суб'єктами містобудування визначалась й частиною п’ятою статті 3 Закону України «Про планування і забудову територій» (чинного станом на час затвердження генерального плану), а також встановлена статтею 5 Закону України «Про регулювання містобудівної діяльності», чинного станом на момент оформлення відповідачем спірного припису щодо негайного припинення проведення земляних та будь-яких інших будівельних робіт на об’єкті будівництва.</w:t>
      </w:r>
    </w:p>
    <w:p w14:paraId="2CB2B0B8" w14:textId="21216D92" w:rsidR="002D3843" w:rsidRPr="002C34C6" w:rsidRDefault="002D3843" w:rsidP="002C34C6">
      <w:pPr>
        <w:pStyle w:val="a3"/>
        <w:ind w:firstLine="567"/>
        <w:contextualSpacing/>
        <w:jc w:val="both"/>
        <w:rPr>
          <w:bCs/>
          <w:sz w:val="28"/>
          <w:szCs w:val="28"/>
          <w:lang w:val="uk-UA"/>
        </w:rPr>
      </w:pPr>
      <w:r w:rsidRPr="002C34C6">
        <w:rPr>
          <w:bCs/>
          <w:sz w:val="28"/>
          <w:szCs w:val="28"/>
          <w:lang w:val="uk-UA"/>
        </w:rPr>
        <w:t>У силу вимог частини першої статті 26 Закону України «Про регулювання містобудівної діяльності» позивач як суб'єкт містобудування під час проектування об'єкта будівництва й отримання документа, який дає право на виконання підготовчих і будівельних робіт, а також при виконанні цих робіт, був зобов'язаний додержуватися положень Генерального плану м. Києва.</w:t>
      </w:r>
    </w:p>
    <w:p w14:paraId="5E325D35" w14:textId="16351113" w:rsidR="002D3843" w:rsidRPr="002C34C6" w:rsidRDefault="009F3D35" w:rsidP="002C34C6">
      <w:pPr>
        <w:pStyle w:val="a3"/>
        <w:ind w:firstLine="567"/>
        <w:contextualSpacing/>
        <w:jc w:val="both"/>
        <w:rPr>
          <w:bCs/>
          <w:sz w:val="28"/>
          <w:szCs w:val="28"/>
          <w:lang w:val="uk-UA"/>
        </w:rPr>
      </w:pPr>
      <w:r w:rsidRPr="002C34C6">
        <w:rPr>
          <w:bCs/>
          <w:sz w:val="28"/>
          <w:szCs w:val="28"/>
          <w:lang w:val="uk-UA"/>
        </w:rPr>
        <w:t>М</w:t>
      </w:r>
      <w:r w:rsidR="002D3843" w:rsidRPr="002C34C6">
        <w:rPr>
          <w:bCs/>
          <w:sz w:val="28"/>
          <w:szCs w:val="28"/>
          <w:lang w:val="uk-UA"/>
        </w:rPr>
        <w:t xml:space="preserve">ежі </w:t>
      </w:r>
      <w:r w:rsidR="004047CC" w:rsidRPr="002C34C6">
        <w:rPr>
          <w:bCs/>
          <w:sz w:val="28"/>
          <w:szCs w:val="28"/>
          <w:lang w:val="uk-UA"/>
        </w:rPr>
        <w:t>І</w:t>
      </w:r>
      <w:r w:rsidR="002D3843" w:rsidRPr="002C34C6">
        <w:rPr>
          <w:bCs/>
          <w:sz w:val="28"/>
          <w:szCs w:val="28"/>
          <w:lang w:val="uk-UA"/>
        </w:rPr>
        <w:t xml:space="preserve">сторичного ареалу міста Києва не були затверджені у порядку, передбаченому статтею 32 Закону України «Про охорону культурної спадщини», однак це не означає, що цей </w:t>
      </w:r>
      <w:r w:rsidR="004047CC" w:rsidRPr="002C34C6">
        <w:rPr>
          <w:bCs/>
          <w:sz w:val="28"/>
          <w:szCs w:val="28"/>
          <w:lang w:val="uk-UA"/>
        </w:rPr>
        <w:t>А</w:t>
      </w:r>
      <w:r w:rsidR="002D3843" w:rsidRPr="002C34C6">
        <w:rPr>
          <w:bCs/>
          <w:sz w:val="28"/>
          <w:szCs w:val="28"/>
          <w:lang w:val="uk-UA"/>
        </w:rPr>
        <w:t>реал не існує і що на цю територію не поширюються вимоги законодавства щодо охорони історико-культурної спадщини і встановлені містобудівною документацією планувальні обмеження.</w:t>
      </w:r>
    </w:p>
    <w:p w14:paraId="4D2E9657" w14:textId="50E51232"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При цьому обов’язковість виконання вимог генерального плану, у складі якого виконано історико-містобудівний план із визначенням меж </w:t>
      </w:r>
      <w:r w:rsidR="004047CC" w:rsidRPr="002C34C6">
        <w:rPr>
          <w:bCs/>
          <w:sz w:val="28"/>
          <w:szCs w:val="28"/>
          <w:lang w:val="uk-UA"/>
        </w:rPr>
        <w:t>І</w:t>
      </w:r>
      <w:r w:rsidRPr="002C34C6">
        <w:rPr>
          <w:bCs/>
          <w:sz w:val="28"/>
          <w:szCs w:val="28"/>
          <w:lang w:val="uk-UA"/>
        </w:rPr>
        <w:t xml:space="preserve">сторичного ареалу міста Києва, а отже і виконання цієї частини генерального плану, виникає у момент його затвердження Київською міською радою. Визначення меж такого </w:t>
      </w:r>
      <w:r w:rsidR="000418D0" w:rsidRPr="002C34C6">
        <w:rPr>
          <w:bCs/>
          <w:sz w:val="28"/>
          <w:szCs w:val="28"/>
          <w:lang w:val="uk-UA"/>
        </w:rPr>
        <w:t>А</w:t>
      </w:r>
      <w:r w:rsidRPr="002C34C6">
        <w:rPr>
          <w:bCs/>
          <w:sz w:val="28"/>
          <w:szCs w:val="28"/>
          <w:lang w:val="uk-UA"/>
        </w:rPr>
        <w:t>реалу і затвердження історико-архітектурних опорних планів як науково-проектної документації повинно відбуватись до затвердження самого генерального плану.</w:t>
      </w:r>
    </w:p>
    <w:p w14:paraId="0F4A6A84" w14:textId="11338D54" w:rsidR="002D3843" w:rsidRPr="002C34C6" w:rsidRDefault="002D3843" w:rsidP="002C34C6">
      <w:pPr>
        <w:pStyle w:val="a3"/>
        <w:ind w:firstLine="567"/>
        <w:contextualSpacing/>
        <w:jc w:val="both"/>
        <w:rPr>
          <w:bCs/>
          <w:sz w:val="28"/>
          <w:szCs w:val="28"/>
          <w:lang w:val="uk-UA"/>
        </w:rPr>
      </w:pPr>
      <w:r w:rsidRPr="002C34C6">
        <w:rPr>
          <w:bCs/>
          <w:sz w:val="28"/>
          <w:szCs w:val="28"/>
          <w:lang w:val="uk-UA"/>
        </w:rPr>
        <w:lastRenderedPageBreak/>
        <w:t>Згідно з положеннями частини четвертої статті 32 Закону України «Про охорону культурної спадщини» на охоронюваних археологічних територіях, у межах зон охорони пам'яток, історичних ареалів населених місць, занесених до Списку історичних населених місць України, забороняються містобудівні, архітектурні чи ландшафтні перетворення, будівельні, меліоративні, шляхові, земляні роботи без дозволу відповідного органу охорони культурної спадщини.</w:t>
      </w:r>
    </w:p>
    <w:p w14:paraId="34E4F470" w14:textId="16B9F3A2" w:rsidR="002D3843" w:rsidRPr="002C34C6" w:rsidRDefault="002D3843" w:rsidP="002C34C6">
      <w:pPr>
        <w:pStyle w:val="a3"/>
        <w:ind w:firstLine="567"/>
        <w:contextualSpacing/>
        <w:jc w:val="both"/>
        <w:rPr>
          <w:bCs/>
          <w:sz w:val="28"/>
          <w:szCs w:val="28"/>
          <w:lang w:val="uk-UA"/>
        </w:rPr>
      </w:pPr>
      <w:r w:rsidRPr="002C34C6">
        <w:rPr>
          <w:bCs/>
          <w:sz w:val="28"/>
          <w:szCs w:val="28"/>
          <w:lang w:val="uk-UA"/>
        </w:rPr>
        <w:t>Частиною першою статті 37-1 цього ж Закону також установлено, що об'єкти всесвітньої спадщини, що розташовані на території України, є предметом особливої охорони.</w:t>
      </w:r>
    </w:p>
    <w:p w14:paraId="4E824627" w14:textId="186AEF7A" w:rsidR="002D3843" w:rsidRPr="002C34C6" w:rsidRDefault="002D3843" w:rsidP="002C34C6">
      <w:pPr>
        <w:pStyle w:val="a3"/>
        <w:ind w:firstLine="567"/>
        <w:contextualSpacing/>
        <w:jc w:val="both"/>
        <w:rPr>
          <w:bCs/>
          <w:sz w:val="28"/>
          <w:szCs w:val="28"/>
          <w:lang w:val="uk-UA"/>
        </w:rPr>
      </w:pPr>
      <w:r w:rsidRPr="002C34C6">
        <w:rPr>
          <w:bCs/>
          <w:sz w:val="28"/>
          <w:szCs w:val="28"/>
          <w:lang w:val="uk-UA"/>
        </w:rPr>
        <w:t>Відповідно до статті 53 та статті 54 Земельного кодексу України до земель історико-культурного призначення належать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p w14:paraId="76CA1B5C"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Землі історико-культурного призначення можуть перебувати у державній, комунальній та приватній власності.</w:t>
      </w:r>
    </w:p>
    <w:p w14:paraId="4288866B"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Навколо історико-культурних заповідників, історико-культурних заповідних територій, музеїв просто неба, меморіальних музеїв-садиб, пам’яток культурної спадщини, їх комплексів (ансамблів) встановлюються зони охорони пам’яток із забороною діяльності, що шкідливо впливає або може вплинути на додержання режиму використання таких земель.</w:t>
      </w:r>
    </w:p>
    <w:p w14:paraId="0A99833A"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Порядок використання земель історико-культурного призначення визначається законом.</w:t>
      </w:r>
    </w:p>
    <w:p w14:paraId="3E4BFF11" w14:textId="3ECCF035" w:rsidR="002D3843" w:rsidRPr="002C34C6" w:rsidRDefault="002D3843" w:rsidP="002C34C6">
      <w:pPr>
        <w:pStyle w:val="a3"/>
        <w:ind w:firstLine="567"/>
        <w:contextualSpacing/>
        <w:jc w:val="both"/>
        <w:rPr>
          <w:bCs/>
          <w:sz w:val="28"/>
          <w:szCs w:val="28"/>
          <w:lang w:val="uk-UA"/>
        </w:rPr>
      </w:pPr>
      <w:r w:rsidRPr="002C34C6">
        <w:rPr>
          <w:bCs/>
          <w:sz w:val="28"/>
          <w:szCs w:val="28"/>
          <w:lang w:val="uk-UA"/>
        </w:rPr>
        <w:t>Відповідно до пункту 17 частини другої статті 5 Закону України «Про охорону культурної спадщини» до повноважень центрального органу виконавчої влади, що реалізує державну політику у сфері охорони культурної спадщини, належить, зокрема, надання дозволів на проведення робіт на пам’ятках національного значення, об’єктах всесвітньої спадщини, їх територіях, в зонах охорони, буферних зонах, на охоронюваних археологічних територіях, в історичних ареалах населених місць.</w:t>
      </w:r>
    </w:p>
    <w:p w14:paraId="04851575" w14:textId="3C23DA18" w:rsidR="002D3843" w:rsidRPr="002C34C6" w:rsidRDefault="002D3843" w:rsidP="002C34C6">
      <w:pPr>
        <w:pStyle w:val="a3"/>
        <w:ind w:firstLine="567"/>
        <w:contextualSpacing/>
        <w:jc w:val="both"/>
        <w:rPr>
          <w:bCs/>
          <w:sz w:val="28"/>
          <w:szCs w:val="28"/>
          <w:lang w:val="uk-UA"/>
        </w:rPr>
      </w:pPr>
      <w:r w:rsidRPr="002C34C6">
        <w:rPr>
          <w:bCs/>
          <w:sz w:val="28"/>
          <w:szCs w:val="28"/>
          <w:lang w:val="uk-UA"/>
        </w:rPr>
        <w:t>Згідно з пунктом 1 Положення про Міністерство культури та інформаційної політики України, затвердженого постановою Кабінету Міністрів України від 3 вересня 2014 року № 495, Мінкультури є головним органом у системі центральних органів виконавчої влади, що забезпечує формування та реалізує державну політику, зокрема, у сфері охорони культурної спадщини.</w:t>
      </w:r>
    </w:p>
    <w:p w14:paraId="0094DAA9" w14:textId="567F5EFB" w:rsidR="002D3843" w:rsidRPr="002C34C6" w:rsidRDefault="002D3843" w:rsidP="002C34C6">
      <w:pPr>
        <w:pStyle w:val="a3"/>
        <w:ind w:firstLine="567"/>
        <w:contextualSpacing/>
        <w:jc w:val="both"/>
        <w:rPr>
          <w:bCs/>
          <w:sz w:val="28"/>
          <w:szCs w:val="28"/>
          <w:lang w:val="uk-UA"/>
        </w:rPr>
      </w:pPr>
      <w:r w:rsidRPr="002C34C6">
        <w:rPr>
          <w:bCs/>
          <w:sz w:val="28"/>
          <w:szCs w:val="28"/>
          <w:lang w:val="uk-UA"/>
        </w:rPr>
        <w:t>Зі змісту наведених правових норм вбачається, що в зонах охорони пам'яток, історичних ареалів населених місць, занесених до Списку історичних населених місць України, встановлено особливий режим регулювання забудови. Зокрема, у таких зонах забороняється проведення будівельних робіт без попереднього отримання дозволу в органах охорони культурної спадщини, зокрема, Міністерства культури та інформаційної політики України як центрального органу виконавчої влади, що реалізує державну політику у сфері охорони культурної спадщини.</w:t>
      </w:r>
    </w:p>
    <w:p w14:paraId="69953EDD" w14:textId="2AA07F0F" w:rsidR="002D3843" w:rsidRPr="002C34C6" w:rsidRDefault="009F3D35" w:rsidP="002C34C6">
      <w:pPr>
        <w:pStyle w:val="a3"/>
        <w:ind w:firstLine="567"/>
        <w:contextualSpacing/>
        <w:jc w:val="both"/>
        <w:rPr>
          <w:bCs/>
          <w:sz w:val="28"/>
          <w:szCs w:val="28"/>
          <w:lang w:val="uk-UA"/>
        </w:rPr>
      </w:pPr>
      <w:r w:rsidRPr="002C34C6">
        <w:rPr>
          <w:bCs/>
          <w:sz w:val="28"/>
          <w:szCs w:val="28"/>
          <w:lang w:val="uk-UA"/>
        </w:rPr>
        <w:t>П</w:t>
      </w:r>
      <w:r w:rsidR="002D3843" w:rsidRPr="002C34C6">
        <w:rPr>
          <w:bCs/>
          <w:sz w:val="28"/>
          <w:szCs w:val="28"/>
          <w:lang w:val="uk-UA"/>
        </w:rPr>
        <w:t xml:space="preserve">рийнята на виконання статті 32 «Про охорону культурної спадщини» постанова Кабінету Міністрів України від 13 березня 2002 року № 318, якою затверджено Порядок визначення меж та режимів використання історичних ареалів </w:t>
      </w:r>
      <w:r w:rsidR="002D3843" w:rsidRPr="002C34C6">
        <w:rPr>
          <w:bCs/>
          <w:sz w:val="28"/>
          <w:szCs w:val="28"/>
          <w:lang w:val="uk-UA"/>
        </w:rPr>
        <w:lastRenderedPageBreak/>
        <w:t>населених місць, обмеження господарської діяльності на території історичних ареалів населених місць, не набрала чинності станом на момент прийняття рішення Київської міської ради, яким було затверджено Генеральний план міста Києва.</w:t>
      </w:r>
    </w:p>
    <w:p w14:paraId="1D998A57" w14:textId="5667D2F6" w:rsidR="002D3843" w:rsidRPr="002C34C6" w:rsidRDefault="002D3843" w:rsidP="002C34C6">
      <w:pPr>
        <w:pStyle w:val="a3"/>
        <w:ind w:firstLine="567"/>
        <w:contextualSpacing/>
        <w:jc w:val="both"/>
        <w:rPr>
          <w:bCs/>
          <w:sz w:val="28"/>
          <w:szCs w:val="28"/>
        </w:rPr>
      </w:pPr>
      <w:r w:rsidRPr="002C34C6">
        <w:rPr>
          <w:bCs/>
          <w:sz w:val="28"/>
          <w:szCs w:val="28"/>
          <w:lang w:val="uk-UA"/>
        </w:rPr>
        <w:t>Порядок № 318 офіційно опубліковано в Офіційному віснику України 5 квітня 2002 року та в Урядовому кур’єрі 30 квітня 2002 року.</w:t>
      </w:r>
    </w:p>
    <w:p w14:paraId="661289D5" w14:textId="742E6365" w:rsidR="002D3843" w:rsidRPr="002C34C6" w:rsidRDefault="002D3843" w:rsidP="002C34C6">
      <w:pPr>
        <w:pStyle w:val="a3"/>
        <w:ind w:firstLine="567"/>
        <w:contextualSpacing/>
        <w:jc w:val="both"/>
        <w:rPr>
          <w:bCs/>
          <w:sz w:val="28"/>
          <w:szCs w:val="28"/>
          <w:lang w:val="uk-UA"/>
        </w:rPr>
      </w:pPr>
      <w:r w:rsidRPr="002C34C6">
        <w:rPr>
          <w:bCs/>
          <w:sz w:val="28"/>
          <w:szCs w:val="28"/>
          <w:lang w:val="uk-UA"/>
        </w:rPr>
        <w:t>У силу вимог абзацу другого пункту 5 розділу IV Тимчасового реґламенту Кабінету Міністрів України, затвердженого постановою Кабінету Міністрів України від 5 червня 2000 року № 915, Порядок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набирав чинності не раніше дня його опублікування в Офіційному віснику України, а саме – 5 квітня 2002 року.</w:t>
      </w:r>
    </w:p>
    <w:p w14:paraId="703EAF3B" w14:textId="0960929D" w:rsidR="002D3843" w:rsidRPr="002C34C6" w:rsidRDefault="00940046" w:rsidP="002C34C6">
      <w:pPr>
        <w:pStyle w:val="a3"/>
        <w:ind w:firstLine="567"/>
        <w:contextualSpacing/>
        <w:jc w:val="both"/>
        <w:rPr>
          <w:bCs/>
          <w:sz w:val="28"/>
          <w:szCs w:val="28"/>
          <w:lang w:val="uk-UA"/>
        </w:rPr>
      </w:pPr>
      <w:r w:rsidRPr="002C34C6">
        <w:rPr>
          <w:bCs/>
          <w:sz w:val="28"/>
          <w:szCs w:val="28"/>
          <w:lang w:val="uk-UA"/>
        </w:rPr>
        <w:t>М</w:t>
      </w:r>
      <w:r w:rsidR="002D3843" w:rsidRPr="002C34C6">
        <w:rPr>
          <w:bCs/>
          <w:sz w:val="28"/>
          <w:szCs w:val="28"/>
          <w:lang w:val="uk-UA"/>
        </w:rPr>
        <w:t xml:space="preserve">ежі </w:t>
      </w:r>
      <w:r w:rsidR="000418D0" w:rsidRPr="002C34C6">
        <w:rPr>
          <w:bCs/>
          <w:sz w:val="28"/>
          <w:szCs w:val="28"/>
          <w:lang w:val="uk-UA"/>
        </w:rPr>
        <w:t>І</w:t>
      </w:r>
      <w:r w:rsidR="002D3843" w:rsidRPr="002C34C6">
        <w:rPr>
          <w:bCs/>
          <w:sz w:val="28"/>
          <w:szCs w:val="28"/>
          <w:lang w:val="uk-UA"/>
        </w:rPr>
        <w:t>сторичного ареалу міста Києва були визначені науково-проектною документацією – «Історико-містобудівний опорний план міста», затвердженою у складі Генерального плану міста Києва та проекту планування його приміської зони на період до 2020 року до набрання чинності вищевказаним Порядком.</w:t>
      </w:r>
    </w:p>
    <w:p w14:paraId="2FD55821" w14:textId="6DDB6EC3" w:rsidR="002D3843" w:rsidRPr="002C34C6" w:rsidRDefault="002D3843" w:rsidP="002C34C6">
      <w:pPr>
        <w:pStyle w:val="a3"/>
        <w:ind w:firstLine="567"/>
        <w:contextualSpacing/>
        <w:jc w:val="both"/>
        <w:rPr>
          <w:bCs/>
          <w:sz w:val="28"/>
          <w:szCs w:val="28"/>
          <w:lang w:val="uk-UA"/>
        </w:rPr>
      </w:pPr>
      <w:r w:rsidRPr="002C34C6">
        <w:rPr>
          <w:bCs/>
          <w:sz w:val="28"/>
          <w:szCs w:val="28"/>
          <w:lang w:val="uk-UA"/>
        </w:rPr>
        <w:t xml:space="preserve">Отже, вимога норми абзацу третього частини третьої статті 32 «Про охорону культурної спадщини» щодо визначення у порядку, встановленому Кабінетом Міністрів України, меж </w:t>
      </w:r>
      <w:r w:rsidR="000418D0" w:rsidRPr="002C34C6">
        <w:rPr>
          <w:bCs/>
          <w:sz w:val="28"/>
          <w:szCs w:val="28"/>
          <w:lang w:val="uk-UA"/>
        </w:rPr>
        <w:t>І</w:t>
      </w:r>
      <w:r w:rsidRPr="002C34C6">
        <w:rPr>
          <w:bCs/>
          <w:sz w:val="28"/>
          <w:szCs w:val="28"/>
          <w:lang w:val="uk-UA"/>
        </w:rPr>
        <w:t>сторичного ареалу міста Києва, не могла бути виконана Київською міською радою з об’єктивних причин, оскільки станом на момент прийняття рішення про затвердження генерального плану міста Києва такий порядок чинності ще не набув.</w:t>
      </w:r>
    </w:p>
    <w:p w14:paraId="26A2C0D5" w14:textId="7B7B9654" w:rsidR="002D3843" w:rsidRPr="002C34C6" w:rsidRDefault="002D3843" w:rsidP="002C34C6">
      <w:pPr>
        <w:pStyle w:val="a3"/>
        <w:ind w:firstLine="567"/>
        <w:contextualSpacing/>
        <w:jc w:val="both"/>
        <w:rPr>
          <w:bCs/>
          <w:sz w:val="28"/>
          <w:szCs w:val="28"/>
          <w:lang w:val="uk-UA"/>
        </w:rPr>
      </w:pPr>
      <w:r w:rsidRPr="002C34C6">
        <w:rPr>
          <w:bCs/>
          <w:sz w:val="28"/>
          <w:szCs w:val="28"/>
          <w:lang w:val="uk-UA"/>
        </w:rPr>
        <w:t>Більше того, нормами Порядку № 318 не вимагалось подання на погодження відповідним органам місцевого самоврядування та затвердження Мінкультури вже існуючих (діючих) і визначених науково-проектною документацією меж історичних ареалів як і не встановлювалось строку для здійснення таких дій.</w:t>
      </w:r>
    </w:p>
    <w:p w14:paraId="4CCC72DC" w14:textId="77777777" w:rsidR="002D3843" w:rsidRPr="002C34C6" w:rsidRDefault="002D3843" w:rsidP="002C34C6">
      <w:pPr>
        <w:pStyle w:val="a3"/>
        <w:ind w:firstLine="567"/>
        <w:contextualSpacing/>
        <w:jc w:val="both"/>
        <w:rPr>
          <w:bCs/>
          <w:sz w:val="28"/>
          <w:szCs w:val="28"/>
          <w:lang w:val="uk-UA"/>
        </w:rPr>
      </w:pPr>
      <w:r w:rsidRPr="002C34C6">
        <w:rPr>
          <w:bCs/>
          <w:sz w:val="28"/>
          <w:szCs w:val="28"/>
          <w:lang w:val="uk-UA"/>
        </w:rPr>
        <w:t>Постановою Кабінету Міністрів України від 21 лютого 2018 року № 92 внесено зміни до Порядку № 318, якою пункти 8 і 9 було викладено в такій редакції:</w:t>
      </w:r>
    </w:p>
    <w:p w14:paraId="5A5F46B3" w14:textId="58B9BECC" w:rsidR="002D3843" w:rsidRPr="002C34C6" w:rsidRDefault="002D3843" w:rsidP="002C34C6">
      <w:pPr>
        <w:pStyle w:val="a3"/>
        <w:ind w:firstLine="567"/>
        <w:contextualSpacing/>
        <w:jc w:val="both"/>
        <w:rPr>
          <w:bCs/>
          <w:sz w:val="28"/>
          <w:szCs w:val="28"/>
          <w:lang w:val="uk-UA"/>
        </w:rPr>
      </w:pPr>
      <w:r w:rsidRPr="002C34C6">
        <w:rPr>
          <w:bCs/>
          <w:sz w:val="28"/>
          <w:szCs w:val="28"/>
          <w:lang w:val="uk-UA"/>
        </w:rPr>
        <w:t>Проектна документація на нове будівництво, реконструкцію та капітальний ремонт (крім реконструкції та капітального ремонту квартир чи окремих приміщень, які здійснюються без зміни об’ємно-просторових характеристик) у межах історичних ареалів населених місць розробляється з урахуванням вимог затвердженого в установленому законом порядку історико-архітектурного опорного плану.</w:t>
      </w:r>
    </w:p>
    <w:p w14:paraId="142826A2" w14:textId="010B13AD" w:rsidR="002D3843" w:rsidRDefault="002D3843" w:rsidP="002C34C6">
      <w:pPr>
        <w:pStyle w:val="a3"/>
        <w:ind w:firstLine="567"/>
        <w:contextualSpacing/>
        <w:jc w:val="both"/>
        <w:rPr>
          <w:bCs/>
          <w:sz w:val="28"/>
          <w:szCs w:val="28"/>
          <w:lang w:val="uk-UA"/>
        </w:rPr>
      </w:pPr>
      <w:r w:rsidRPr="002C34C6">
        <w:rPr>
          <w:bCs/>
          <w:sz w:val="28"/>
          <w:szCs w:val="28"/>
          <w:lang w:val="uk-UA"/>
        </w:rPr>
        <w:t>У разі незатвердження історико-архітектурного опорного плану населеного місця, що внесене до Списку історичних населених місць України, проектна документація на нове будівництво, реконструкцію та капітальний ремонт (крім реконструкції та капітального ремонту квартир чи окремих приміщень, які здійснюються без зміни об’ємно-просторових характеристик) у межах історичного ареалу розробляється з урахуванням вимог історико-містобудівного обґрунтування, порядок розроблення якого визначається наказом Мінкультури та Мінрегіону.</w:t>
      </w:r>
    </w:p>
    <w:p w14:paraId="20FE84B4" w14:textId="5091FD3C" w:rsidR="002C34C6" w:rsidRDefault="002C34C6" w:rsidP="002C34C6">
      <w:pPr>
        <w:pStyle w:val="a3"/>
        <w:ind w:firstLine="567"/>
        <w:contextualSpacing/>
        <w:jc w:val="both"/>
        <w:rPr>
          <w:bCs/>
          <w:sz w:val="28"/>
          <w:szCs w:val="28"/>
          <w:lang w:val="uk-UA"/>
        </w:rPr>
      </w:pPr>
    </w:p>
    <w:p w14:paraId="0BACCAD4" w14:textId="7EEDED4B" w:rsidR="002C34C6" w:rsidRDefault="002C34C6" w:rsidP="002C34C6">
      <w:pPr>
        <w:pStyle w:val="a3"/>
        <w:ind w:firstLine="567"/>
        <w:contextualSpacing/>
        <w:jc w:val="both"/>
        <w:rPr>
          <w:bCs/>
          <w:sz w:val="28"/>
          <w:szCs w:val="28"/>
          <w:lang w:val="uk-UA"/>
        </w:rPr>
      </w:pPr>
    </w:p>
    <w:p w14:paraId="08B564FD" w14:textId="77777777" w:rsidR="002C34C6" w:rsidRPr="002C34C6" w:rsidRDefault="002C34C6" w:rsidP="002C34C6">
      <w:pPr>
        <w:pStyle w:val="a3"/>
        <w:ind w:firstLine="567"/>
        <w:contextualSpacing/>
        <w:jc w:val="both"/>
        <w:rPr>
          <w:bCs/>
          <w:sz w:val="28"/>
          <w:szCs w:val="28"/>
          <w:lang w:val="uk-UA"/>
        </w:rPr>
      </w:pPr>
    </w:p>
    <w:p w14:paraId="569F7183" w14:textId="22671C56" w:rsidR="002D3843" w:rsidRPr="002C34C6" w:rsidRDefault="00940046" w:rsidP="002C34C6">
      <w:pPr>
        <w:pStyle w:val="a3"/>
        <w:ind w:firstLine="567"/>
        <w:contextualSpacing/>
        <w:jc w:val="both"/>
        <w:rPr>
          <w:b/>
          <w:iCs/>
          <w:sz w:val="28"/>
          <w:szCs w:val="28"/>
          <w:lang w:val="uk-UA"/>
        </w:rPr>
      </w:pPr>
      <w:r w:rsidRPr="002C34C6">
        <w:rPr>
          <w:b/>
          <w:sz w:val="28"/>
          <w:szCs w:val="28"/>
          <w:lang w:val="uk-UA"/>
        </w:rPr>
        <w:lastRenderedPageBreak/>
        <w:t>Висновки:</w:t>
      </w:r>
    </w:p>
    <w:p w14:paraId="3DD292C5" w14:textId="5D4F7EA7" w:rsidR="002D3843" w:rsidRPr="002C34C6" w:rsidRDefault="00940046" w:rsidP="002C34C6">
      <w:pPr>
        <w:pStyle w:val="a3"/>
        <w:numPr>
          <w:ilvl w:val="0"/>
          <w:numId w:val="2"/>
        </w:numPr>
        <w:tabs>
          <w:tab w:val="left" w:pos="851"/>
        </w:tabs>
        <w:ind w:left="0" w:firstLine="567"/>
        <w:contextualSpacing/>
        <w:jc w:val="both"/>
        <w:rPr>
          <w:sz w:val="28"/>
          <w:szCs w:val="28"/>
          <w:lang w:val="uk-UA"/>
        </w:rPr>
      </w:pPr>
      <w:r w:rsidRPr="002C34C6">
        <w:rPr>
          <w:sz w:val="28"/>
          <w:szCs w:val="28"/>
          <w:lang w:val="uk-UA"/>
        </w:rPr>
        <w:t>О</w:t>
      </w:r>
      <w:r w:rsidR="002D3843" w:rsidRPr="002C34C6">
        <w:rPr>
          <w:sz w:val="28"/>
          <w:szCs w:val="28"/>
          <w:lang w:val="uk-UA"/>
        </w:rPr>
        <w:t>бов’язковість виконання вимог генерального плану населеного пункту, у складі якого виконано історико-містобудівний план із визначенням меж історичного ареалу цього населеного пункту, виникає у момент його затвердження</w:t>
      </w:r>
      <w:r w:rsidR="004047CC" w:rsidRPr="002C34C6">
        <w:rPr>
          <w:sz w:val="28"/>
          <w:szCs w:val="28"/>
          <w:lang w:val="uk-UA"/>
        </w:rPr>
        <w:t>.</w:t>
      </w:r>
    </w:p>
    <w:p w14:paraId="6C5412FF" w14:textId="317E87BD" w:rsidR="00940046" w:rsidRPr="002C34C6" w:rsidRDefault="00940046" w:rsidP="002C34C6">
      <w:pPr>
        <w:pStyle w:val="a3"/>
        <w:numPr>
          <w:ilvl w:val="0"/>
          <w:numId w:val="2"/>
        </w:numPr>
        <w:tabs>
          <w:tab w:val="left" w:pos="851"/>
        </w:tabs>
        <w:ind w:left="0" w:firstLine="567"/>
        <w:contextualSpacing/>
        <w:jc w:val="both"/>
        <w:rPr>
          <w:iCs/>
          <w:sz w:val="28"/>
          <w:szCs w:val="28"/>
          <w:lang w:val="uk-UA"/>
        </w:rPr>
      </w:pPr>
      <w:r w:rsidRPr="002C34C6">
        <w:rPr>
          <w:iCs/>
          <w:sz w:val="28"/>
          <w:szCs w:val="28"/>
          <w:lang w:val="uk-UA"/>
        </w:rPr>
        <w:t>Н</w:t>
      </w:r>
      <w:r w:rsidR="002D3843" w:rsidRPr="002C34C6">
        <w:rPr>
          <w:iCs/>
          <w:sz w:val="28"/>
          <w:szCs w:val="28"/>
          <w:lang w:val="uk-UA"/>
        </w:rPr>
        <w:t>езатвердження науково-проектної документації з визначення меж історичного ареалу відповідно до статті 32 Закону України «Про охорону культурної спадщини»</w:t>
      </w:r>
      <w:r w:rsidRPr="002C34C6">
        <w:rPr>
          <w:iCs/>
          <w:sz w:val="28"/>
          <w:szCs w:val="28"/>
          <w:lang w:val="uk-UA"/>
        </w:rPr>
        <w:t>:</w:t>
      </w:r>
    </w:p>
    <w:p w14:paraId="574B06D3" w14:textId="523E644C" w:rsidR="00940046" w:rsidRPr="002C34C6" w:rsidRDefault="002D3843" w:rsidP="002C34C6">
      <w:pPr>
        <w:pStyle w:val="a3"/>
        <w:numPr>
          <w:ilvl w:val="0"/>
          <w:numId w:val="4"/>
        </w:numPr>
        <w:tabs>
          <w:tab w:val="left" w:pos="851"/>
        </w:tabs>
        <w:ind w:left="0" w:firstLine="567"/>
        <w:contextualSpacing/>
        <w:jc w:val="both"/>
        <w:rPr>
          <w:iCs/>
          <w:sz w:val="28"/>
          <w:szCs w:val="28"/>
          <w:lang w:val="uk-UA"/>
        </w:rPr>
      </w:pPr>
      <w:r w:rsidRPr="002C34C6">
        <w:rPr>
          <w:iCs/>
          <w:sz w:val="28"/>
          <w:szCs w:val="28"/>
          <w:lang w:val="uk-UA"/>
        </w:rPr>
        <w:t>не зумовлює нечинн</w:t>
      </w:r>
      <w:r w:rsidR="00940046" w:rsidRPr="002C34C6">
        <w:rPr>
          <w:iCs/>
          <w:sz w:val="28"/>
          <w:szCs w:val="28"/>
          <w:lang w:val="uk-UA"/>
        </w:rPr>
        <w:t>ість</w:t>
      </w:r>
      <w:r w:rsidRPr="002C34C6">
        <w:rPr>
          <w:iCs/>
          <w:sz w:val="28"/>
          <w:szCs w:val="28"/>
          <w:lang w:val="uk-UA"/>
        </w:rPr>
        <w:t xml:space="preserve"> </w:t>
      </w:r>
      <w:r w:rsidR="004047CC" w:rsidRPr="002C34C6">
        <w:rPr>
          <w:iCs/>
          <w:sz w:val="28"/>
          <w:szCs w:val="28"/>
          <w:lang w:val="uk-UA"/>
        </w:rPr>
        <w:t>г</w:t>
      </w:r>
      <w:r w:rsidRPr="002C34C6">
        <w:rPr>
          <w:iCs/>
          <w:sz w:val="28"/>
          <w:szCs w:val="28"/>
          <w:lang w:val="uk-UA"/>
        </w:rPr>
        <w:t xml:space="preserve">енерального плану або його скасування, </w:t>
      </w:r>
    </w:p>
    <w:p w14:paraId="525563C9" w14:textId="48DA22CA" w:rsidR="002D3843" w:rsidRPr="002C34C6" w:rsidRDefault="002D3843" w:rsidP="002C34C6">
      <w:pPr>
        <w:pStyle w:val="a3"/>
        <w:numPr>
          <w:ilvl w:val="0"/>
          <w:numId w:val="4"/>
        </w:numPr>
        <w:tabs>
          <w:tab w:val="left" w:pos="851"/>
        </w:tabs>
        <w:ind w:left="0" w:firstLine="567"/>
        <w:contextualSpacing/>
        <w:jc w:val="both"/>
        <w:rPr>
          <w:iCs/>
          <w:sz w:val="28"/>
          <w:szCs w:val="28"/>
          <w:lang w:val="uk-UA"/>
        </w:rPr>
      </w:pPr>
      <w:r w:rsidRPr="002C34C6">
        <w:rPr>
          <w:iCs/>
          <w:sz w:val="28"/>
          <w:szCs w:val="28"/>
          <w:lang w:val="uk-UA"/>
        </w:rPr>
        <w:t xml:space="preserve">не нівелює вимоги законодавства стосовно обов’язковості </w:t>
      </w:r>
      <w:r w:rsidR="004047CC" w:rsidRPr="002C34C6">
        <w:rPr>
          <w:iCs/>
          <w:sz w:val="28"/>
          <w:szCs w:val="28"/>
          <w:lang w:val="uk-UA"/>
        </w:rPr>
        <w:t xml:space="preserve">генерального плану </w:t>
      </w:r>
      <w:r w:rsidRPr="002C34C6">
        <w:rPr>
          <w:iCs/>
          <w:sz w:val="28"/>
          <w:szCs w:val="28"/>
          <w:lang w:val="uk-UA"/>
        </w:rPr>
        <w:t xml:space="preserve">і врахування його </w:t>
      </w:r>
      <w:r w:rsidR="004047CC" w:rsidRPr="002C34C6">
        <w:rPr>
          <w:iCs/>
          <w:sz w:val="28"/>
          <w:szCs w:val="28"/>
          <w:lang w:val="uk-UA"/>
        </w:rPr>
        <w:t>положень</w:t>
      </w:r>
      <w:r w:rsidRPr="002C34C6">
        <w:rPr>
          <w:iCs/>
          <w:sz w:val="28"/>
          <w:szCs w:val="28"/>
          <w:lang w:val="uk-UA"/>
        </w:rPr>
        <w:t xml:space="preserve"> під час провадження містобудівної діяльності;</w:t>
      </w:r>
    </w:p>
    <w:p w14:paraId="24F12FA0" w14:textId="1E208A15" w:rsidR="00940046" w:rsidRPr="002C34C6" w:rsidRDefault="00940046" w:rsidP="002C34C6">
      <w:pPr>
        <w:pStyle w:val="a3"/>
        <w:numPr>
          <w:ilvl w:val="0"/>
          <w:numId w:val="4"/>
        </w:numPr>
        <w:tabs>
          <w:tab w:val="left" w:pos="851"/>
        </w:tabs>
        <w:ind w:left="0" w:firstLine="567"/>
        <w:contextualSpacing/>
        <w:jc w:val="both"/>
        <w:rPr>
          <w:iCs/>
          <w:sz w:val="28"/>
          <w:szCs w:val="28"/>
          <w:lang w:val="uk-UA"/>
        </w:rPr>
      </w:pPr>
      <w:r w:rsidRPr="002C34C6">
        <w:rPr>
          <w:iCs/>
          <w:sz w:val="28"/>
          <w:szCs w:val="28"/>
          <w:lang w:val="uk-UA"/>
        </w:rPr>
        <w:t xml:space="preserve">не </w:t>
      </w:r>
      <w:r w:rsidR="002D3843" w:rsidRPr="002C34C6">
        <w:rPr>
          <w:iCs/>
          <w:sz w:val="28"/>
          <w:szCs w:val="28"/>
          <w:lang w:val="uk-UA"/>
        </w:rPr>
        <w:t>скасову</w:t>
      </w:r>
      <w:r w:rsidRPr="002C34C6">
        <w:rPr>
          <w:iCs/>
          <w:sz w:val="28"/>
          <w:szCs w:val="28"/>
          <w:lang w:val="uk-UA"/>
        </w:rPr>
        <w:t>є</w:t>
      </w:r>
      <w:r w:rsidR="002D3843" w:rsidRPr="002C34C6">
        <w:rPr>
          <w:iCs/>
          <w:sz w:val="28"/>
          <w:szCs w:val="28"/>
          <w:lang w:val="uk-UA"/>
        </w:rPr>
        <w:t xml:space="preserve"> закріплен</w:t>
      </w:r>
      <w:r w:rsidRPr="002C34C6">
        <w:rPr>
          <w:iCs/>
          <w:sz w:val="28"/>
          <w:szCs w:val="28"/>
          <w:lang w:val="uk-UA"/>
        </w:rPr>
        <w:t>ий</w:t>
      </w:r>
      <w:r w:rsidR="002D3843" w:rsidRPr="002C34C6">
        <w:rPr>
          <w:iCs/>
          <w:sz w:val="28"/>
          <w:szCs w:val="28"/>
          <w:lang w:val="uk-UA"/>
        </w:rPr>
        <w:t xml:space="preserve"> на нормативному рівні правов</w:t>
      </w:r>
      <w:r w:rsidRPr="002C34C6">
        <w:rPr>
          <w:iCs/>
          <w:sz w:val="28"/>
          <w:szCs w:val="28"/>
          <w:lang w:val="uk-UA"/>
        </w:rPr>
        <w:t>ий</w:t>
      </w:r>
      <w:r w:rsidR="002D3843" w:rsidRPr="002C34C6">
        <w:rPr>
          <w:iCs/>
          <w:sz w:val="28"/>
          <w:szCs w:val="28"/>
          <w:lang w:val="uk-UA"/>
        </w:rPr>
        <w:t xml:space="preserve"> статусу відповідної території як об’єкта культурної спадщини</w:t>
      </w:r>
      <w:r w:rsidRPr="002C34C6">
        <w:rPr>
          <w:iCs/>
          <w:sz w:val="28"/>
          <w:szCs w:val="28"/>
          <w:lang w:val="uk-UA"/>
        </w:rPr>
        <w:t xml:space="preserve"> та</w:t>
      </w:r>
      <w:r w:rsidR="002D3843" w:rsidRPr="002C34C6">
        <w:rPr>
          <w:iCs/>
          <w:sz w:val="28"/>
          <w:szCs w:val="28"/>
          <w:lang w:val="uk-UA"/>
        </w:rPr>
        <w:t xml:space="preserve"> </w:t>
      </w:r>
      <w:r w:rsidR="004047CC" w:rsidRPr="002C34C6">
        <w:rPr>
          <w:iCs/>
          <w:sz w:val="28"/>
          <w:szCs w:val="28"/>
          <w:lang w:val="uk-UA"/>
        </w:rPr>
        <w:t xml:space="preserve">не </w:t>
      </w:r>
      <w:r w:rsidR="002D3843" w:rsidRPr="002C34C6">
        <w:rPr>
          <w:iCs/>
          <w:sz w:val="28"/>
          <w:szCs w:val="28"/>
          <w:lang w:val="uk-UA"/>
        </w:rPr>
        <w:t>виводит</w:t>
      </w:r>
      <w:r w:rsidR="004047CC" w:rsidRPr="002C34C6">
        <w:rPr>
          <w:iCs/>
          <w:sz w:val="28"/>
          <w:szCs w:val="28"/>
          <w:lang w:val="uk-UA"/>
        </w:rPr>
        <w:t xml:space="preserve">ь </w:t>
      </w:r>
      <w:r w:rsidR="002D3843" w:rsidRPr="002C34C6">
        <w:rPr>
          <w:iCs/>
          <w:sz w:val="28"/>
          <w:szCs w:val="28"/>
          <w:lang w:val="uk-UA"/>
        </w:rPr>
        <w:t>її з під державної охорони (охорони законом)</w:t>
      </w:r>
      <w:r w:rsidRPr="002C34C6">
        <w:rPr>
          <w:iCs/>
          <w:sz w:val="28"/>
          <w:szCs w:val="28"/>
          <w:lang w:val="uk-UA"/>
        </w:rPr>
        <w:t>.</w:t>
      </w:r>
    </w:p>
    <w:p w14:paraId="19FA659D" w14:textId="77777777" w:rsidR="004047CC" w:rsidRPr="002C34C6" w:rsidRDefault="002D3843" w:rsidP="002C34C6">
      <w:pPr>
        <w:pStyle w:val="a3"/>
        <w:numPr>
          <w:ilvl w:val="0"/>
          <w:numId w:val="2"/>
        </w:numPr>
        <w:tabs>
          <w:tab w:val="left" w:pos="851"/>
        </w:tabs>
        <w:ind w:left="0" w:firstLine="567"/>
        <w:contextualSpacing/>
        <w:jc w:val="both"/>
        <w:rPr>
          <w:iCs/>
          <w:sz w:val="28"/>
          <w:szCs w:val="28"/>
          <w:lang w:val="uk-UA"/>
        </w:rPr>
      </w:pPr>
      <w:r w:rsidRPr="002C34C6">
        <w:rPr>
          <w:iCs/>
          <w:sz w:val="28"/>
          <w:szCs w:val="28"/>
          <w:lang w:val="uk-UA"/>
        </w:rPr>
        <w:t xml:space="preserve"> </w:t>
      </w:r>
      <w:r w:rsidR="00940046" w:rsidRPr="002C34C6">
        <w:rPr>
          <w:iCs/>
          <w:sz w:val="28"/>
          <w:szCs w:val="28"/>
          <w:lang w:val="uk-UA"/>
        </w:rPr>
        <w:t>Захист Історичного ареалу міста Києва</w:t>
      </w:r>
      <w:r w:rsidR="004047CC" w:rsidRPr="002C34C6">
        <w:rPr>
          <w:iCs/>
          <w:sz w:val="28"/>
          <w:szCs w:val="28"/>
          <w:lang w:val="uk-UA"/>
        </w:rPr>
        <w:t>:</w:t>
      </w:r>
    </w:p>
    <w:p w14:paraId="2204E7DD" w14:textId="33B01C6D" w:rsidR="004047CC" w:rsidRPr="002C34C6" w:rsidRDefault="00940046" w:rsidP="002C34C6">
      <w:pPr>
        <w:pStyle w:val="a3"/>
        <w:numPr>
          <w:ilvl w:val="0"/>
          <w:numId w:val="5"/>
        </w:numPr>
        <w:tabs>
          <w:tab w:val="left" w:pos="851"/>
        </w:tabs>
        <w:ind w:left="0" w:firstLine="567"/>
        <w:contextualSpacing/>
        <w:jc w:val="both"/>
        <w:rPr>
          <w:iCs/>
          <w:sz w:val="28"/>
          <w:szCs w:val="28"/>
          <w:lang w:val="uk-UA"/>
        </w:rPr>
      </w:pPr>
      <w:r w:rsidRPr="002C34C6">
        <w:rPr>
          <w:iCs/>
          <w:sz w:val="28"/>
          <w:szCs w:val="28"/>
          <w:lang w:val="uk-UA"/>
        </w:rPr>
        <w:t>дозволяє зберегти</w:t>
      </w:r>
      <w:r w:rsidR="002D3843" w:rsidRPr="002C34C6">
        <w:rPr>
          <w:iCs/>
          <w:sz w:val="28"/>
          <w:szCs w:val="28"/>
          <w:lang w:val="uk-UA"/>
        </w:rPr>
        <w:t xml:space="preserve"> баланс інтересів, досягнутий при затвердженні Генерального плану міста Києва</w:t>
      </w:r>
      <w:r w:rsidR="004047CC" w:rsidRPr="002C34C6">
        <w:rPr>
          <w:iCs/>
          <w:sz w:val="28"/>
          <w:szCs w:val="28"/>
          <w:lang w:val="uk-UA"/>
        </w:rPr>
        <w:t xml:space="preserve"> (був </w:t>
      </w:r>
      <w:r w:rsidR="002D3843" w:rsidRPr="002C34C6">
        <w:rPr>
          <w:iCs/>
          <w:sz w:val="28"/>
          <w:szCs w:val="28"/>
          <w:lang w:val="uk-UA"/>
        </w:rPr>
        <w:t>розробл</w:t>
      </w:r>
      <w:r w:rsidR="004047CC" w:rsidRPr="002C34C6">
        <w:rPr>
          <w:iCs/>
          <w:sz w:val="28"/>
          <w:szCs w:val="28"/>
          <w:lang w:val="uk-UA"/>
        </w:rPr>
        <w:t>ений</w:t>
      </w:r>
      <w:r w:rsidR="002D3843" w:rsidRPr="002C34C6">
        <w:rPr>
          <w:iCs/>
          <w:sz w:val="28"/>
          <w:szCs w:val="28"/>
          <w:lang w:val="uk-UA"/>
        </w:rPr>
        <w:t xml:space="preserve"> та затвердж</w:t>
      </w:r>
      <w:r w:rsidR="004047CC" w:rsidRPr="002C34C6">
        <w:rPr>
          <w:iCs/>
          <w:sz w:val="28"/>
          <w:szCs w:val="28"/>
          <w:lang w:val="uk-UA"/>
        </w:rPr>
        <w:t>ений</w:t>
      </w:r>
      <w:r w:rsidR="002D3843" w:rsidRPr="002C34C6">
        <w:rPr>
          <w:iCs/>
          <w:sz w:val="28"/>
          <w:szCs w:val="28"/>
          <w:lang w:val="uk-UA"/>
        </w:rPr>
        <w:t xml:space="preserve"> в інтересах відповідної територіальної громади з урахуванням державних, громадських та приватних інтересів</w:t>
      </w:r>
      <w:r w:rsidR="004047CC" w:rsidRPr="002C34C6">
        <w:rPr>
          <w:iCs/>
          <w:sz w:val="28"/>
          <w:szCs w:val="28"/>
          <w:lang w:val="uk-UA"/>
        </w:rPr>
        <w:t>);</w:t>
      </w:r>
      <w:r w:rsidR="002D3843" w:rsidRPr="002C34C6">
        <w:rPr>
          <w:iCs/>
          <w:sz w:val="28"/>
          <w:szCs w:val="28"/>
          <w:lang w:val="uk-UA"/>
        </w:rPr>
        <w:t xml:space="preserve"> </w:t>
      </w:r>
    </w:p>
    <w:p w14:paraId="30E1F627" w14:textId="4B065009" w:rsidR="002D3843" w:rsidRPr="002C34C6" w:rsidRDefault="004047CC" w:rsidP="002C34C6">
      <w:pPr>
        <w:pStyle w:val="a3"/>
        <w:numPr>
          <w:ilvl w:val="0"/>
          <w:numId w:val="5"/>
        </w:numPr>
        <w:tabs>
          <w:tab w:val="left" w:pos="851"/>
        </w:tabs>
        <w:ind w:left="0" w:firstLine="567"/>
        <w:contextualSpacing/>
        <w:jc w:val="both"/>
        <w:rPr>
          <w:iCs/>
          <w:sz w:val="28"/>
          <w:szCs w:val="28"/>
          <w:lang w:val="uk-UA"/>
        </w:rPr>
      </w:pPr>
      <w:r w:rsidRPr="002C34C6">
        <w:rPr>
          <w:iCs/>
          <w:sz w:val="28"/>
          <w:szCs w:val="28"/>
          <w:lang w:val="uk-UA"/>
        </w:rPr>
        <w:t>не допускає</w:t>
      </w:r>
      <w:r w:rsidR="002D3843" w:rsidRPr="002C34C6">
        <w:rPr>
          <w:iCs/>
          <w:sz w:val="28"/>
          <w:szCs w:val="28"/>
          <w:lang w:val="uk-UA"/>
        </w:rPr>
        <w:t xml:space="preserve"> необґрунтован</w:t>
      </w:r>
      <w:r w:rsidRPr="002C34C6">
        <w:rPr>
          <w:iCs/>
          <w:sz w:val="28"/>
          <w:szCs w:val="28"/>
          <w:lang w:val="uk-UA"/>
        </w:rPr>
        <w:t>ої</w:t>
      </w:r>
      <w:r w:rsidR="002D3843" w:rsidRPr="002C34C6">
        <w:rPr>
          <w:iCs/>
          <w:sz w:val="28"/>
          <w:szCs w:val="28"/>
          <w:lang w:val="uk-UA"/>
        </w:rPr>
        <w:t xml:space="preserve"> переваг</w:t>
      </w:r>
      <w:r w:rsidRPr="002C34C6">
        <w:rPr>
          <w:iCs/>
          <w:sz w:val="28"/>
          <w:szCs w:val="28"/>
          <w:lang w:val="uk-UA"/>
        </w:rPr>
        <w:t>и</w:t>
      </w:r>
      <w:r w:rsidR="002D3843" w:rsidRPr="002C34C6">
        <w:rPr>
          <w:iCs/>
          <w:sz w:val="28"/>
          <w:szCs w:val="28"/>
          <w:lang w:val="uk-UA"/>
        </w:rPr>
        <w:t xml:space="preserve"> приватни</w:t>
      </w:r>
      <w:r w:rsidRPr="002C34C6">
        <w:rPr>
          <w:iCs/>
          <w:sz w:val="28"/>
          <w:szCs w:val="28"/>
          <w:lang w:val="uk-UA"/>
        </w:rPr>
        <w:t>х</w:t>
      </w:r>
      <w:r w:rsidR="002D3843" w:rsidRPr="002C34C6">
        <w:rPr>
          <w:iCs/>
          <w:sz w:val="28"/>
          <w:szCs w:val="28"/>
          <w:lang w:val="uk-UA"/>
        </w:rPr>
        <w:t xml:space="preserve"> інтерес</w:t>
      </w:r>
      <w:r w:rsidRPr="002C34C6">
        <w:rPr>
          <w:iCs/>
          <w:sz w:val="28"/>
          <w:szCs w:val="28"/>
          <w:lang w:val="uk-UA"/>
        </w:rPr>
        <w:t>ів</w:t>
      </w:r>
      <w:r w:rsidR="002D3843" w:rsidRPr="002C34C6">
        <w:rPr>
          <w:iCs/>
          <w:sz w:val="28"/>
          <w:szCs w:val="28"/>
          <w:lang w:val="uk-UA"/>
        </w:rPr>
        <w:t xml:space="preserve"> над </w:t>
      </w:r>
      <w:r w:rsidRPr="002C34C6">
        <w:rPr>
          <w:iCs/>
          <w:sz w:val="28"/>
          <w:szCs w:val="28"/>
          <w:lang w:val="uk-UA"/>
        </w:rPr>
        <w:t xml:space="preserve">загальним </w:t>
      </w:r>
      <w:r w:rsidR="002D3843" w:rsidRPr="002C34C6">
        <w:rPr>
          <w:iCs/>
          <w:sz w:val="28"/>
          <w:szCs w:val="28"/>
          <w:lang w:val="uk-UA"/>
        </w:rPr>
        <w:t>інтересом територіальної громади міста Києва до</w:t>
      </w:r>
      <w:r w:rsidRPr="002C34C6">
        <w:rPr>
          <w:iCs/>
          <w:sz w:val="28"/>
          <w:szCs w:val="28"/>
          <w:lang w:val="uk-UA"/>
        </w:rPr>
        <w:t xml:space="preserve"> збереження</w:t>
      </w:r>
      <w:r w:rsidR="002D3843" w:rsidRPr="002C34C6">
        <w:rPr>
          <w:iCs/>
          <w:sz w:val="28"/>
          <w:szCs w:val="28"/>
          <w:lang w:val="uk-UA"/>
        </w:rPr>
        <w:t xml:space="preserve"> культурної спадщини відповідно до її значення для суспільства, який визнається Україною</w:t>
      </w:r>
      <w:r w:rsidRPr="002C34C6">
        <w:rPr>
          <w:iCs/>
          <w:sz w:val="28"/>
          <w:szCs w:val="28"/>
          <w:lang w:val="uk-UA"/>
        </w:rPr>
        <w:t>, зокрема,</w:t>
      </w:r>
      <w:r w:rsidR="002D3843" w:rsidRPr="002C34C6">
        <w:rPr>
          <w:iCs/>
          <w:sz w:val="28"/>
          <w:szCs w:val="28"/>
          <w:lang w:val="uk-UA"/>
        </w:rPr>
        <w:t xml:space="preserve"> згідно з домовленостями Сторін, досягнутими у Рамковій конвенції Ради Європи про значення культурної спадщини для суспільства</w:t>
      </w:r>
      <w:r w:rsidRPr="002C34C6">
        <w:rPr>
          <w:iCs/>
          <w:sz w:val="28"/>
          <w:szCs w:val="28"/>
          <w:lang w:val="uk-UA"/>
        </w:rPr>
        <w:t>.</w:t>
      </w:r>
    </w:p>
    <w:p w14:paraId="67AD11BA" w14:textId="797C6CD6" w:rsidR="002D3843" w:rsidRPr="002C34C6" w:rsidRDefault="002D3843" w:rsidP="002C34C6">
      <w:pPr>
        <w:pStyle w:val="a3"/>
        <w:numPr>
          <w:ilvl w:val="0"/>
          <w:numId w:val="2"/>
        </w:numPr>
        <w:tabs>
          <w:tab w:val="left" w:pos="851"/>
        </w:tabs>
        <w:ind w:left="0" w:firstLine="567"/>
        <w:contextualSpacing/>
        <w:jc w:val="both"/>
        <w:rPr>
          <w:iCs/>
          <w:sz w:val="28"/>
          <w:szCs w:val="28"/>
          <w:lang w:val="uk-UA"/>
        </w:rPr>
      </w:pPr>
      <w:r w:rsidRPr="002C34C6">
        <w:rPr>
          <w:iCs/>
          <w:sz w:val="28"/>
          <w:szCs w:val="28"/>
          <w:lang w:val="uk-UA"/>
        </w:rPr>
        <w:t>Генеральний план міста Києва та проект планування його приміської зони на період до 2020 року, у якому наявний історико-архітектурний опорний план (науково-проектна документація) з інформацію про зони охорони і межі історичного ареалу, є діючим, ніким не скасованим, й повин</w:t>
      </w:r>
      <w:r w:rsidR="004047CC" w:rsidRPr="002C34C6">
        <w:rPr>
          <w:iCs/>
          <w:sz w:val="28"/>
          <w:szCs w:val="28"/>
          <w:lang w:val="uk-UA"/>
        </w:rPr>
        <w:t>ен</w:t>
      </w:r>
      <w:r w:rsidRPr="002C34C6">
        <w:rPr>
          <w:iCs/>
          <w:sz w:val="28"/>
          <w:szCs w:val="28"/>
          <w:lang w:val="uk-UA"/>
        </w:rPr>
        <w:t xml:space="preserve"> враховуватись суб’єктами господарювання під час здійснення містобудівної діяльності</w:t>
      </w:r>
      <w:r w:rsidR="004047CC" w:rsidRPr="002C34C6">
        <w:rPr>
          <w:iCs/>
          <w:sz w:val="28"/>
          <w:szCs w:val="28"/>
          <w:lang w:val="uk-UA"/>
        </w:rPr>
        <w:t>.</w:t>
      </w:r>
    </w:p>
    <w:p w14:paraId="50101F32" w14:textId="2258BD63" w:rsidR="002D3843" w:rsidRPr="002C34C6" w:rsidRDefault="004047CC" w:rsidP="002C34C6">
      <w:pPr>
        <w:pStyle w:val="a3"/>
        <w:numPr>
          <w:ilvl w:val="0"/>
          <w:numId w:val="2"/>
        </w:numPr>
        <w:tabs>
          <w:tab w:val="left" w:pos="851"/>
        </w:tabs>
        <w:ind w:left="0" w:firstLine="567"/>
        <w:contextualSpacing/>
        <w:jc w:val="both"/>
        <w:rPr>
          <w:sz w:val="28"/>
          <w:szCs w:val="28"/>
          <w:lang w:val="uk-UA"/>
        </w:rPr>
      </w:pPr>
      <w:r w:rsidRPr="002C34C6">
        <w:rPr>
          <w:sz w:val="28"/>
          <w:szCs w:val="28"/>
          <w:lang w:val="uk-UA"/>
        </w:rPr>
        <w:t>В</w:t>
      </w:r>
      <w:r w:rsidR="002D3843" w:rsidRPr="002C34C6">
        <w:rPr>
          <w:sz w:val="28"/>
          <w:szCs w:val="28"/>
          <w:lang w:val="uk-UA"/>
        </w:rPr>
        <w:t>ідповідно до імперативних вимог пункту 17 частини другої статті 5 Закону України «Про охорону культурної спадщини» будівельні та будь-які інші роботи в межах історичного ареалу населеного пункту не можуть здійснюватися без отримання дозволу від центрального органу виконавчої влади, що реалізує державну політику у сфері охорони культурної спадщини.</w:t>
      </w:r>
    </w:p>
    <w:p w14:paraId="47FA37F0" w14:textId="77777777" w:rsidR="002D3843" w:rsidRPr="002C34C6" w:rsidRDefault="002D3843" w:rsidP="002C34C6">
      <w:pPr>
        <w:pStyle w:val="a3"/>
        <w:ind w:firstLine="567"/>
        <w:contextualSpacing/>
        <w:jc w:val="both"/>
        <w:rPr>
          <w:bCs/>
          <w:sz w:val="28"/>
          <w:szCs w:val="28"/>
          <w:lang w:val="uk-UA"/>
        </w:rPr>
      </w:pPr>
    </w:p>
    <w:p w14:paraId="726AA9DB" w14:textId="6CC0A8BA" w:rsidR="00853284" w:rsidRPr="002C34C6" w:rsidRDefault="00853284" w:rsidP="002C34C6">
      <w:pPr>
        <w:pStyle w:val="a3"/>
        <w:ind w:firstLine="567"/>
        <w:contextualSpacing/>
        <w:jc w:val="both"/>
        <w:rPr>
          <w:sz w:val="28"/>
          <w:szCs w:val="28"/>
          <w:lang w:val="uk-UA"/>
        </w:rPr>
      </w:pPr>
      <w:r w:rsidRPr="002C34C6">
        <w:rPr>
          <w:sz w:val="28"/>
          <w:szCs w:val="28"/>
          <w:lang w:val="uk-UA"/>
        </w:rPr>
        <w:t xml:space="preserve">Постанова Верховного Суду від </w:t>
      </w:r>
      <w:r w:rsidR="002D3843" w:rsidRPr="002C34C6">
        <w:rPr>
          <w:color w:val="000000"/>
          <w:sz w:val="28"/>
          <w:szCs w:val="28"/>
          <w:lang w:val="uk-UA"/>
        </w:rPr>
        <w:t>31 січня</w:t>
      </w:r>
      <w:r w:rsidRPr="002C34C6">
        <w:rPr>
          <w:color w:val="000000"/>
          <w:sz w:val="28"/>
          <w:szCs w:val="28"/>
          <w:lang w:val="uk-UA"/>
        </w:rPr>
        <w:t xml:space="preserve"> 202</w:t>
      </w:r>
      <w:r w:rsidR="002D3843" w:rsidRPr="002C34C6">
        <w:rPr>
          <w:color w:val="000000"/>
          <w:sz w:val="28"/>
          <w:szCs w:val="28"/>
          <w:lang w:val="uk-UA"/>
        </w:rPr>
        <w:t>3</w:t>
      </w:r>
      <w:r w:rsidRPr="002C34C6">
        <w:rPr>
          <w:color w:val="000000"/>
          <w:sz w:val="28"/>
          <w:szCs w:val="28"/>
          <w:lang w:val="uk-UA"/>
        </w:rPr>
        <w:t xml:space="preserve"> року у справі № </w:t>
      </w:r>
      <w:r w:rsidR="002D3843" w:rsidRPr="002C34C6">
        <w:rPr>
          <w:color w:val="000000"/>
          <w:sz w:val="28"/>
          <w:szCs w:val="28"/>
        </w:rPr>
        <w:t>640/8728/21</w:t>
      </w:r>
      <w:r w:rsidR="002D3843" w:rsidRPr="002C34C6">
        <w:rPr>
          <w:color w:val="000000"/>
          <w:sz w:val="28"/>
          <w:szCs w:val="28"/>
          <w:lang w:val="uk-UA"/>
        </w:rPr>
        <w:t xml:space="preserve"> </w:t>
      </w:r>
      <w:r w:rsidRPr="002C34C6">
        <w:rPr>
          <w:color w:val="000000"/>
          <w:sz w:val="28"/>
          <w:szCs w:val="28"/>
          <w:lang w:val="uk-UA"/>
        </w:rPr>
        <w:t xml:space="preserve">(адміністративне провадження № </w:t>
      </w:r>
      <w:r w:rsidR="002D3843" w:rsidRPr="002C34C6">
        <w:rPr>
          <w:color w:val="000000"/>
          <w:sz w:val="28"/>
          <w:szCs w:val="28"/>
        </w:rPr>
        <w:t>К/9901/47994/21</w:t>
      </w:r>
      <w:r w:rsidRPr="002C34C6">
        <w:rPr>
          <w:color w:val="000000"/>
          <w:sz w:val="28"/>
          <w:szCs w:val="28"/>
          <w:lang w:val="uk-UA"/>
        </w:rPr>
        <w:t xml:space="preserve">) – </w:t>
      </w:r>
      <w:hyperlink r:id="rId7" w:history="1">
        <w:r w:rsidR="004047CC" w:rsidRPr="002C34C6">
          <w:rPr>
            <w:rStyle w:val="a4"/>
            <w:sz w:val="28"/>
            <w:szCs w:val="28"/>
          </w:rPr>
          <w:t>https://reyestr.court.gov.ua/Review/108724469</w:t>
        </w:r>
      </w:hyperlink>
      <w:r w:rsidRPr="002C34C6">
        <w:rPr>
          <w:sz w:val="28"/>
          <w:szCs w:val="28"/>
          <w:lang w:val="uk-UA"/>
        </w:rPr>
        <w:t>.</w:t>
      </w:r>
    </w:p>
    <w:sectPr w:rsidR="00853284" w:rsidRPr="002C34C6" w:rsidSect="002C34C6">
      <w:pgSz w:w="11906" w:h="16838"/>
      <w:pgMar w:top="1135"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0BB0" w14:textId="77777777" w:rsidR="002366C8" w:rsidRDefault="002366C8" w:rsidP="00B0043D">
      <w:pPr>
        <w:spacing w:after="0" w:line="240" w:lineRule="auto"/>
      </w:pPr>
      <w:r>
        <w:separator/>
      </w:r>
    </w:p>
  </w:endnote>
  <w:endnote w:type="continuationSeparator" w:id="0">
    <w:p w14:paraId="4F0DF095" w14:textId="77777777" w:rsidR="002366C8" w:rsidRDefault="002366C8" w:rsidP="00B0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panose1 w:val="02000000000000000000"/>
    <w:charset w:val="CC"/>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ED70" w14:textId="77777777" w:rsidR="002366C8" w:rsidRDefault="002366C8" w:rsidP="00B0043D">
      <w:pPr>
        <w:spacing w:after="0" w:line="240" w:lineRule="auto"/>
      </w:pPr>
      <w:r>
        <w:separator/>
      </w:r>
    </w:p>
  </w:footnote>
  <w:footnote w:type="continuationSeparator" w:id="0">
    <w:p w14:paraId="4F07DC9F" w14:textId="77777777" w:rsidR="002366C8" w:rsidRDefault="002366C8" w:rsidP="00B00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800"/>
    <w:multiLevelType w:val="hybridMultilevel"/>
    <w:tmpl w:val="96C69B40"/>
    <w:lvl w:ilvl="0" w:tplc="1ACEAB20">
      <w:numFmt w:val="bullet"/>
      <w:lvlText w:val="-"/>
      <w:lvlJc w:val="left"/>
      <w:pPr>
        <w:ind w:left="502" w:hanging="360"/>
      </w:pPr>
      <w:rPr>
        <w:rFonts w:ascii="Roboto Condensed Light" w:eastAsia="Times New Roman" w:hAnsi="Roboto Condensed Light"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68B64B8B"/>
    <w:multiLevelType w:val="hybridMultilevel"/>
    <w:tmpl w:val="976C7D16"/>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15:restartNumberingAfterBreak="0">
    <w:nsid w:val="75B03CA0"/>
    <w:multiLevelType w:val="hybridMultilevel"/>
    <w:tmpl w:val="2690EA0E"/>
    <w:lvl w:ilvl="0" w:tplc="1ACEAB20">
      <w:numFmt w:val="bullet"/>
      <w:lvlText w:val="-"/>
      <w:lvlJc w:val="left"/>
      <w:pPr>
        <w:ind w:left="1364" w:hanging="360"/>
      </w:pPr>
      <w:rPr>
        <w:rFonts w:ascii="Roboto Condensed Light" w:eastAsia="Times New Roman" w:hAnsi="Roboto Condensed Light" w:cs="Times New Roman" w:hint="default"/>
      </w:rPr>
    </w:lvl>
    <w:lvl w:ilvl="1" w:tplc="04220003" w:tentative="1">
      <w:start w:val="1"/>
      <w:numFmt w:val="bullet"/>
      <w:lvlText w:val="o"/>
      <w:lvlJc w:val="left"/>
      <w:pPr>
        <w:ind w:left="2302" w:hanging="360"/>
      </w:pPr>
      <w:rPr>
        <w:rFonts w:ascii="Courier New" w:hAnsi="Courier New" w:cs="Courier New" w:hint="default"/>
      </w:rPr>
    </w:lvl>
    <w:lvl w:ilvl="2" w:tplc="04220005" w:tentative="1">
      <w:start w:val="1"/>
      <w:numFmt w:val="bullet"/>
      <w:lvlText w:val=""/>
      <w:lvlJc w:val="left"/>
      <w:pPr>
        <w:ind w:left="3022" w:hanging="360"/>
      </w:pPr>
      <w:rPr>
        <w:rFonts w:ascii="Wingdings" w:hAnsi="Wingdings" w:hint="default"/>
      </w:rPr>
    </w:lvl>
    <w:lvl w:ilvl="3" w:tplc="04220001" w:tentative="1">
      <w:start w:val="1"/>
      <w:numFmt w:val="bullet"/>
      <w:lvlText w:val=""/>
      <w:lvlJc w:val="left"/>
      <w:pPr>
        <w:ind w:left="3742" w:hanging="360"/>
      </w:pPr>
      <w:rPr>
        <w:rFonts w:ascii="Symbol" w:hAnsi="Symbol" w:hint="default"/>
      </w:rPr>
    </w:lvl>
    <w:lvl w:ilvl="4" w:tplc="04220003" w:tentative="1">
      <w:start w:val="1"/>
      <w:numFmt w:val="bullet"/>
      <w:lvlText w:val="o"/>
      <w:lvlJc w:val="left"/>
      <w:pPr>
        <w:ind w:left="4462" w:hanging="360"/>
      </w:pPr>
      <w:rPr>
        <w:rFonts w:ascii="Courier New" w:hAnsi="Courier New" w:cs="Courier New" w:hint="default"/>
      </w:rPr>
    </w:lvl>
    <w:lvl w:ilvl="5" w:tplc="04220005" w:tentative="1">
      <w:start w:val="1"/>
      <w:numFmt w:val="bullet"/>
      <w:lvlText w:val=""/>
      <w:lvlJc w:val="left"/>
      <w:pPr>
        <w:ind w:left="5182" w:hanging="360"/>
      </w:pPr>
      <w:rPr>
        <w:rFonts w:ascii="Wingdings" w:hAnsi="Wingdings" w:hint="default"/>
      </w:rPr>
    </w:lvl>
    <w:lvl w:ilvl="6" w:tplc="04220001" w:tentative="1">
      <w:start w:val="1"/>
      <w:numFmt w:val="bullet"/>
      <w:lvlText w:val=""/>
      <w:lvlJc w:val="left"/>
      <w:pPr>
        <w:ind w:left="5902" w:hanging="360"/>
      </w:pPr>
      <w:rPr>
        <w:rFonts w:ascii="Symbol" w:hAnsi="Symbol" w:hint="default"/>
      </w:rPr>
    </w:lvl>
    <w:lvl w:ilvl="7" w:tplc="04220003" w:tentative="1">
      <w:start w:val="1"/>
      <w:numFmt w:val="bullet"/>
      <w:lvlText w:val="o"/>
      <w:lvlJc w:val="left"/>
      <w:pPr>
        <w:ind w:left="6622" w:hanging="360"/>
      </w:pPr>
      <w:rPr>
        <w:rFonts w:ascii="Courier New" w:hAnsi="Courier New" w:cs="Courier New" w:hint="default"/>
      </w:rPr>
    </w:lvl>
    <w:lvl w:ilvl="8" w:tplc="04220005" w:tentative="1">
      <w:start w:val="1"/>
      <w:numFmt w:val="bullet"/>
      <w:lvlText w:val=""/>
      <w:lvlJc w:val="left"/>
      <w:pPr>
        <w:ind w:left="7342" w:hanging="360"/>
      </w:pPr>
      <w:rPr>
        <w:rFonts w:ascii="Wingdings" w:hAnsi="Wingdings" w:hint="default"/>
      </w:rPr>
    </w:lvl>
  </w:abstractNum>
  <w:abstractNum w:abstractNumId="3" w15:restartNumberingAfterBreak="0">
    <w:nsid w:val="7BA77A2E"/>
    <w:multiLevelType w:val="hybridMultilevel"/>
    <w:tmpl w:val="909AC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810898"/>
    <w:multiLevelType w:val="hybridMultilevel"/>
    <w:tmpl w:val="9FDE92DC"/>
    <w:lvl w:ilvl="0" w:tplc="1ACEAB20">
      <w:numFmt w:val="bullet"/>
      <w:lvlText w:val="-"/>
      <w:lvlJc w:val="left"/>
      <w:pPr>
        <w:ind w:left="1004" w:hanging="360"/>
      </w:pPr>
      <w:rPr>
        <w:rFonts w:ascii="Roboto Condensed Light" w:eastAsia="Times New Roman" w:hAnsi="Roboto Condensed Light" w:cs="Times New Roman" w:hint="default"/>
      </w:rPr>
    </w:lvl>
    <w:lvl w:ilvl="1" w:tplc="04220003" w:tentative="1">
      <w:start w:val="1"/>
      <w:numFmt w:val="bullet"/>
      <w:lvlText w:val="o"/>
      <w:lvlJc w:val="left"/>
      <w:pPr>
        <w:ind w:left="1942" w:hanging="360"/>
      </w:pPr>
      <w:rPr>
        <w:rFonts w:ascii="Courier New" w:hAnsi="Courier New" w:cs="Courier New" w:hint="default"/>
      </w:rPr>
    </w:lvl>
    <w:lvl w:ilvl="2" w:tplc="04220005" w:tentative="1">
      <w:start w:val="1"/>
      <w:numFmt w:val="bullet"/>
      <w:lvlText w:val=""/>
      <w:lvlJc w:val="left"/>
      <w:pPr>
        <w:ind w:left="2662" w:hanging="360"/>
      </w:pPr>
      <w:rPr>
        <w:rFonts w:ascii="Wingdings" w:hAnsi="Wingdings" w:hint="default"/>
      </w:rPr>
    </w:lvl>
    <w:lvl w:ilvl="3" w:tplc="04220001" w:tentative="1">
      <w:start w:val="1"/>
      <w:numFmt w:val="bullet"/>
      <w:lvlText w:val=""/>
      <w:lvlJc w:val="left"/>
      <w:pPr>
        <w:ind w:left="3382" w:hanging="360"/>
      </w:pPr>
      <w:rPr>
        <w:rFonts w:ascii="Symbol" w:hAnsi="Symbol" w:hint="default"/>
      </w:rPr>
    </w:lvl>
    <w:lvl w:ilvl="4" w:tplc="04220003" w:tentative="1">
      <w:start w:val="1"/>
      <w:numFmt w:val="bullet"/>
      <w:lvlText w:val="o"/>
      <w:lvlJc w:val="left"/>
      <w:pPr>
        <w:ind w:left="4102" w:hanging="360"/>
      </w:pPr>
      <w:rPr>
        <w:rFonts w:ascii="Courier New" w:hAnsi="Courier New" w:cs="Courier New" w:hint="default"/>
      </w:rPr>
    </w:lvl>
    <w:lvl w:ilvl="5" w:tplc="04220005" w:tentative="1">
      <w:start w:val="1"/>
      <w:numFmt w:val="bullet"/>
      <w:lvlText w:val=""/>
      <w:lvlJc w:val="left"/>
      <w:pPr>
        <w:ind w:left="4822" w:hanging="360"/>
      </w:pPr>
      <w:rPr>
        <w:rFonts w:ascii="Wingdings" w:hAnsi="Wingdings" w:hint="default"/>
      </w:rPr>
    </w:lvl>
    <w:lvl w:ilvl="6" w:tplc="04220001" w:tentative="1">
      <w:start w:val="1"/>
      <w:numFmt w:val="bullet"/>
      <w:lvlText w:val=""/>
      <w:lvlJc w:val="left"/>
      <w:pPr>
        <w:ind w:left="5542" w:hanging="360"/>
      </w:pPr>
      <w:rPr>
        <w:rFonts w:ascii="Symbol" w:hAnsi="Symbol" w:hint="default"/>
      </w:rPr>
    </w:lvl>
    <w:lvl w:ilvl="7" w:tplc="04220003" w:tentative="1">
      <w:start w:val="1"/>
      <w:numFmt w:val="bullet"/>
      <w:lvlText w:val="o"/>
      <w:lvlJc w:val="left"/>
      <w:pPr>
        <w:ind w:left="6262" w:hanging="360"/>
      </w:pPr>
      <w:rPr>
        <w:rFonts w:ascii="Courier New" w:hAnsi="Courier New" w:cs="Courier New" w:hint="default"/>
      </w:rPr>
    </w:lvl>
    <w:lvl w:ilvl="8" w:tplc="04220005" w:tentative="1">
      <w:start w:val="1"/>
      <w:numFmt w:val="bullet"/>
      <w:lvlText w:val=""/>
      <w:lvlJc w:val="left"/>
      <w:pPr>
        <w:ind w:left="6982"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01"/>
    <w:rsid w:val="00007865"/>
    <w:rsid w:val="000418D0"/>
    <w:rsid w:val="000772BE"/>
    <w:rsid w:val="00081C81"/>
    <w:rsid w:val="00084773"/>
    <w:rsid w:val="000874FF"/>
    <w:rsid w:val="000A3E2D"/>
    <w:rsid w:val="000B60EE"/>
    <w:rsid w:val="000D6D51"/>
    <w:rsid w:val="00103FD6"/>
    <w:rsid w:val="0012015F"/>
    <w:rsid w:val="001429C3"/>
    <w:rsid w:val="001779E8"/>
    <w:rsid w:val="001A4BB9"/>
    <w:rsid w:val="001B30BF"/>
    <w:rsid w:val="001C6628"/>
    <w:rsid w:val="001D5EC1"/>
    <w:rsid w:val="00200C28"/>
    <w:rsid w:val="00221A81"/>
    <w:rsid w:val="00227A5E"/>
    <w:rsid w:val="002366C8"/>
    <w:rsid w:val="00271327"/>
    <w:rsid w:val="002A134C"/>
    <w:rsid w:val="002B525D"/>
    <w:rsid w:val="002C34C6"/>
    <w:rsid w:val="002D3843"/>
    <w:rsid w:val="002E5D16"/>
    <w:rsid w:val="003170ED"/>
    <w:rsid w:val="00326935"/>
    <w:rsid w:val="003522E8"/>
    <w:rsid w:val="00387D60"/>
    <w:rsid w:val="003C3F4F"/>
    <w:rsid w:val="004047CC"/>
    <w:rsid w:val="004933C8"/>
    <w:rsid w:val="0050193B"/>
    <w:rsid w:val="0051012F"/>
    <w:rsid w:val="005340D2"/>
    <w:rsid w:val="00552709"/>
    <w:rsid w:val="0055279A"/>
    <w:rsid w:val="0057066D"/>
    <w:rsid w:val="00570A91"/>
    <w:rsid w:val="00594BE5"/>
    <w:rsid w:val="005A69D4"/>
    <w:rsid w:val="005C4A03"/>
    <w:rsid w:val="00687E78"/>
    <w:rsid w:val="006A024A"/>
    <w:rsid w:val="006B6349"/>
    <w:rsid w:val="006C64F2"/>
    <w:rsid w:val="006E183C"/>
    <w:rsid w:val="006F76AF"/>
    <w:rsid w:val="007310B9"/>
    <w:rsid w:val="00732AF8"/>
    <w:rsid w:val="00745D70"/>
    <w:rsid w:val="007639EE"/>
    <w:rsid w:val="00767EA9"/>
    <w:rsid w:val="00790FC4"/>
    <w:rsid w:val="007C6E6E"/>
    <w:rsid w:val="007E37FD"/>
    <w:rsid w:val="00804B90"/>
    <w:rsid w:val="00830F8C"/>
    <w:rsid w:val="008356A1"/>
    <w:rsid w:val="00841F2C"/>
    <w:rsid w:val="00853284"/>
    <w:rsid w:val="0086174B"/>
    <w:rsid w:val="008733E8"/>
    <w:rsid w:val="00874415"/>
    <w:rsid w:val="008931D7"/>
    <w:rsid w:val="008C52DD"/>
    <w:rsid w:val="008D1D83"/>
    <w:rsid w:val="008D5352"/>
    <w:rsid w:val="008D6387"/>
    <w:rsid w:val="0090291F"/>
    <w:rsid w:val="00940046"/>
    <w:rsid w:val="0097252B"/>
    <w:rsid w:val="009C1514"/>
    <w:rsid w:val="009C2C95"/>
    <w:rsid w:val="009D28AF"/>
    <w:rsid w:val="009E026D"/>
    <w:rsid w:val="009F3D35"/>
    <w:rsid w:val="00A44554"/>
    <w:rsid w:val="00A4478B"/>
    <w:rsid w:val="00A666DD"/>
    <w:rsid w:val="00A97B29"/>
    <w:rsid w:val="00AE1027"/>
    <w:rsid w:val="00AF69AD"/>
    <w:rsid w:val="00B0043D"/>
    <w:rsid w:val="00B009A7"/>
    <w:rsid w:val="00B25A7C"/>
    <w:rsid w:val="00B669A1"/>
    <w:rsid w:val="00B82966"/>
    <w:rsid w:val="00B90F8D"/>
    <w:rsid w:val="00BA0779"/>
    <w:rsid w:val="00BA12C7"/>
    <w:rsid w:val="00BA4D9E"/>
    <w:rsid w:val="00BE63AE"/>
    <w:rsid w:val="00C46682"/>
    <w:rsid w:val="00C81952"/>
    <w:rsid w:val="00CA089B"/>
    <w:rsid w:val="00CC3BF2"/>
    <w:rsid w:val="00CD1011"/>
    <w:rsid w:val="00CE581F"/>
    <w:rsid w:val="00CE76C4"/>
    <w:rsid w:val="00D15568"/>
    <w:rsid w:val="00D3357D"/>
    <w:rsid w:val="00D47E9E"/>
    <w:rsid w:val="00D55501"/>
    <w:rsid w:val="00D752B3"/>
    <w:rsid w:val="00DA0286"/>
    <w:rsid w:val="00DA0F1F"/>
    <w:rsid w:val="00DD3610"/>
    <w:rsid w:val="00DE6236"/>
    <w:rsid w:val="00E16587"/>
    <w:rsid w:val="00E16D4D"/>
    <w:rsid w:val="00E27227"/>
    <w:rsid w:val="00E30808"/>
    <w:rsid w:val="00E321A9"/>
    <w:rsid w:val="00E976A4"/>
    <w:rsid w:val="00EC6721"/>
    <w:rsid w:val="00EC6F79"/>
    <w:rsid w:val="00EE17EA"/>
    <w:rsid w:val="00EE77D6"/>
    <w:rsid w:val="00EF3AB8"/>
    <w:rsid w:val="00F208E8"/>
    <w:rsid w:val="00F31CFE"/>
    <w:rsid w:val="00F408BB"/>
    <w:rsid w:val="00F41F19"/>
    <w:rsid w:val="00F6005D"/>
    <w:rsid w:val="00F63F63"/>
    <w:rsid w:val="00FA019C"/>
    <w:rsid w:val="00FE610B"/>
    <w:rsid w:val="00FF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10E7"/>
  <w15:docId w15:val="{02C3E4FC-D6A8-4806-8D4C-9777B7B4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69AD"/>
    <w:rPr>
      <w:color w:val="0000FF"/>
      <w:u w:val="single"/>
    </w:rPr>
  </w:style>
  <w:style w:type="paragraph" w:styleId="a5">
    <w:name w:val="List Paragraph"/>
    <w:basedOn w:val="a"/>
    <w:uiPriority w:val="34"/>
    <w:qFormat/>
    <w:rsid w:val="00C81952"/>
    <w:pPr>
      <w:ind w:left="720"/>
      <w:contextualSpacing/>
    </w:pPr>
  </w:style>
  <w:style w:type="paragraph" w:customStyle="1" w:styleId="ps0">
    <w:name w:val="ps0"/>
    <w:basedOn w:val="a"/>
    <w:rsid w:val="00F408B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B25A7C"/>
    <w:rPr>
      <w:sz w:val="16"/>
      <w:szCs w:val="16"/>
    </w:rPr>
  </w:style>
  <w:style w:type="paragraph" w:styleId="a7">
    <w:name w:val="annotation text"/>
    <w:basedOn w:val="a"/>
    <w:link w:val="a8"/>
    <w:uiPriority w:val="99"/>
    <w:semiHidden/>
    <w:unhideWhenUsed/>
    <w:rsid w:val="00B25A7C"/>
    <w:pPr>
      <w:spacing w:line="240" w:lineRule="auto"/>
    </w:pPr>
    <w:rPr>
      <w:sz w:val="20"/>
      <w:szCs w:val="20"/>
    </w:rPr>
  </w:style>
  <w:style w:type="character" w:customStyle="1" w:styleId="a8">
    <w:name w:val="Текст примітки Знак"/>
    <w:basedOn w:val="a0"/>
    <w:link w:val="a7"/>
    <w:uiPriority w:val="99"/>
    <w:semiHidden/>
    <w:rsid w:val="00B25A7C"/>
    <w:rPr>
      <w:sz w:val="20"/>
      <w:szCs w:val="20"/>
    </w:rPr>
  </w:style>
  <w:style w:type="paragraph" w:styleId="a9">
    <w:name w:val="annotation subject"/>
    <w:basedOn w:val="a7"/>
    <w:next w:val="a7"/>
    <w:link w:val="aa"/>
    <w:uiPriority w:val="99"/>
    <w:semiHidden/>
    <w:unhideWhenUsed/>
    <w:rsid w:val="00B25A7C"/>
    <w:rPr>
      <w:b/>
      <w:bCs/>
    </w:rPr>
  </w:style>
  <w:style w:type="character" w:customStyle="1" w:styleId="aa">
    <w:name w:val="Тема примітки Знак"/>
    <w:basedOn w:val="a8"/>
    <w:link w:val="a9"/>
    <w:uiPriority w:val="99"/>
    <w:semiHidden/>
    <w:rsid w:val="00B25A7C"/>
    <w:rPr>
      <w:b/>
      <w:bCs/>
      <w:sz w:val="20"/>
      <w:szCs w:val="20"/>
    </w:rPr>
  </w:style>
  <w:style w:type="paragraph" w:styleId="ab">
    <w:name w:val="Balloon Text"/>
    <w:basedOn w:val="a"/>
    <w:link w:val="ac"/>
    <w:uiPriority w:val="99"/>
    <w:semiHidden/>
    <w:unhideWhenUsed/>
    <w:rsid w:val="00B25A7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25A7C"/>
    <w:rPr>
      <w:rFonts w:ascii="Segoe UI" w:hAnsi="Segoe UI" w:cs="Segoe UI"/>
      <w:sz w:val="18"/>
      <w:szCs w:val="18"/>
    </w:rPr>
  </w:style>
  <w:style w:type="paragraph" w:styleId="ad">
    <w:name w:val="footnote text"/>
    <w:basedOn w:val="a"/>
    <w:link w:val="ae"/>
    <w:uiPriority w:val="99"/>
    <w:semiHidden/>
    <w:unhideWhenUsed/>
    <w:rsid w:val="00B0043D"/>
    <w:pPr>
      <w:spacing w:after="0" w:line="240" w:lineRule="auto"/>
    </w:pPr>
    <w:rPr>
      <w:noProof/>
      <w:sz w:val="20"/>
      <w:szCs w:val="20"/>
      <w:lang w:val="uk-UA"/>
    </w:rPr>
  </w:style>
  <w:style w:type="character" w:customStyle="1" w:styleId="ae">
    <w:name w:val="Текст виноски Знак"/>
    <w:basedOn w:val="a0"/>
    <w:link w:val="ad"/>
    <w:uiPriority w:val="99"/>
    <w:semiHidden/>
    <w:rsid w:val="00B0043D"/>
    <w:rPr>
      <w:noProof/>
      <w:sz w:val="20"/>
      <w:szCs w:val="20"/>
      <w:lang w:val="uk-UA"/>
    </w:rPr>
  </w:style>
  <w:style w:type="character" w:styleId="af">
    <w:name w:val="footnote reference"/>
    <w:basedOn w:val="a0"/>
    <w:unhideWhenUsed/>
    <w:rsid w:val="00B0043D"/>
    <w:rPr>
      <w:vertAlign w:val="superscript"/>
    </w:rPr>
  </w:style>
  <w:style w:type="character" w:styleId="af0">
    <w:name w:val="Unresolved Mention"/>
    <w:basedOn w:val="a0"/>
    <w:uiPriority w:val="99"/>
    <w:semiHidden/>
    <w:unhideWhenUsed/>
    <w:rsid w:val="002D3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10011">
      <w:bodyDiv w:val="1"/>
      <w:marLeft w:val="0"/>
      <w:marRight w:val="0"/>
      <w:marTop w:val="0"/>
      <w:marBottom w:val="0"/>
      <w:divBdr>
        <w:top w:val="none" w:sz="0" w:space="0" w:color="auto"/>
        <w:left w:val="none" w:sz="0" w:space="0" w:color="auto"/>
        <w:bottom w:val="none" w:sz="0" w:space="0" w:color="auto"/>
        <w:right w:val="none" w:sz="0" w:space="0" w:color="auto"/>
      </w:divBdr>
    </w:div>
    <w:div w:id="11616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yestr.court.gov.ua/Review/1087244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20896</Words>
  <Characters>11911</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svatkoao</dc:creator>
  <cp:keywords/>
  <dc:description/>
  <cp:lastModifiedBy>BernazyukYO</cp:lastModifiedBy>
  <cp:revision>2</cp:revision>
  <cp:lastPrinted>2023-02-13T13:11:00Z</cp:lastPrinted>
  <dcterms:created xsi:type="dcterms:W3CDTF">2023-03-07T10:59:00Z</dcterms:created>
  <dcterms:modified xsi:type="dcterms:W3CDTF">2023-03-07T10:59:00Z</dcterms:modified>
</cp:coreProperties>
</file>