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8AA1" w14:textId="77777777" w:rsidR="00851510" w:rsidRDefault="00851510" w:rsidP="00851510">
      <w:pPr>
        <w:pStyle w:val="a3"/>
        <w:tabs>
          <w:tab w:val="left" w:pos="1134"/>
        </w:tabs>
        <w:spacing w:before="0" w:beforeAutospacing="0" w:after="0" w:afterAutospacing="0"/>
        <w:ind w:firstLine="567"/>
        <w:jc w:val="right"/>
        <w:rPr>
          <w:b/>
          <w:sz w:val="28"/>
          <w:szCs w:val="28"/>
        </w:rPr>
      </w:pPr>
      <w:r>
        <w:rPr>
          <w:b/>
          <w:sz w:val="28"/>
          <w:szCs w:val="28"/>
        </w:rPr>
        <w:t>Я.О. Берназюк,</w:t>
      </w:r>
    </w:p>
    <w:p w14:paraId="609823D2" w14:textId="77777777" w:rsidR="00851510" w:rsidRDefault="00851510" w:rsidP="00851510">
      <w:pPr>
        <w:pStyle w:val="a3"/>
        <w:tabs>
          <w:tab w:val="left" w:pos="1134"/>
        </w:tabs>
        <w:spacing w:before="0" w:beforeAutospacing="0" w:after="0" w:afterAutospacing="0"/>
        <w:ind w:firstLine="567"/>
        <w:jc w:val="right"/>
        <w:rPr>
          <w:sz w:val="28"/>
          <w:szCs w:val="28"/>
        </w:rPr>
      </w:pPr>
      <w:r>
        <w:rPr>
          <w:sz w:val="28"/>
          <w:szCs w:val="28"/>
        </w:rPr>
        <w:t>доктор юридичних наук, професор</w:t>
      </w:r>
    </w:p>
    <w:p w14:paraId="47A30741" w14:textId="77777777" w:rsidR="00851510" w:rsidRDefault="00851510" w:rsidP="00851510">
      <w:pPr>
        <w:pStyle w:val="a3"/>
        <w:tabs>
          <w:tab w:val="left" w:pos="1134"/>
        </w:tabs>
        <w:spacing w:before="0" w:beforeAutospacing="0" w:after="0" w:afterAutospacing="0"/>
        <w:ind w:firstLine="567"/>
        <w:jc w:val="right"/>
        <w:rPr>
          <w:sz w:val="28"/>
          <w:szCs w:val="28"/>
        </w:rPr>
      </w:pPr>
      <w:r>
        <w:rPr>
          <w:sz w:val="28"/>
          <w:szCs w:val="28"/>
        </w:rPr>
        <w:t>заслужений юрист України,</w:t>
      </w:r>
    </w:p>
    <w:p w14:paraId="545A2BE4" w14:textId="77777777" w:rsidR="00851510" w:rsidRDefault="00851510" w:rsidP="00851510">
      <w:pPr>
        <w:pStyle w:val="a3"/>
        <w:tabs>
          <w:tab w:val="left" w:pos="1134"/>
        </w:tabs>
        <w:spacing w:before="0" w:beforeAutospacing="0" w:after="0" w:afterAutospacing="0"/>
        <w:ind w:firstLine="567"/>
        <w:jc w:val="right"/>
        <w:rPr>
          <w:sz w:val="28"/>
          <w:szCs w:val="28"/>
        </w:rPr>
      </w:pPr>
      <w:r>
        <w:rPr>
          <w:sz w:val="28"/>
          <w:szCs w:val="28"/>
        </w:rPr>
        <w:t>e-mail: bern1979@ukr.net</w:t>
      </w:r>
    </w:p>
    <w:p w14:paraId="6FE87FAB" w14:textId="2252BD85" w:rsidR="00851510" w:rsidRDefault="00851510" w:rsidP="00851510">
      <w:pPr>
        <w:pStyle w:val="a3"/>
        <w:spacing w:before="0" w:beforeAutospacing="0" w:after="0" w:afterAutospacing="0" w:line="360" w:lineRule="auto"/>
        <w:jc w:val="right"/>
        <w:rPr>
          <w:b/>
          <w:bCs/>
          <w:sz w:val="28"/>
          <w:szCs w:val="28"/>
        </w:rPr>
      </w:pPr>
      <w:r>
        <w:rPr>
          <w:sz w:val="28"/>
          <w:szCs w:val="28"/>
        </w:rPr>
        <w:t>ORCID: 0000-0002-2353-4836</w:t>
      </w:r>
    </w:p>
    <w:p w14:paraId="7467648E" w14:textId="77777777" w:rsidR="00851510" w:rsidRDefault="00851510" w:rsidP="00851510">
      <w:pPr>
        <w:pStyle w:val="a3"/>
        <w:spacing w:before="0" w:beforeAutospacing="0" w:after="0" w:afterAutospacing="0" w:line="360" w:lineRule="auto"/>
        <w:jc w:val="center"/>
        <w:rPr>
          <w:b/>
          <w:bCs/>
          <w:sz w:val="28"/>
          <w:szCs w:val="28"/>
        </w:rPr>
      </w:pPr>
    </w:p>
    <w:p w14:paraId="461CD8D4" w14:textId="55ADE93B" w:rsidR="00851510" w:rsidRPr="00851510" w:rsidRDefault="00851510" w:rsidP="00851510">
      <w:pPr>
        <w:pStyle w:val="a3"/>
        <w:spacing w:before="0" w:beforeAutospacing="0" w:after="0" w:afterAutospacing="0" w:line="360" w:lineRule="auto"/>
        <w:jc w:val="center"/>
        <w:rPr>
          <w:b/>
          <w:bCs/>
          <w:sz w:val="28"/>
          <w:szCs w:val="28"/>
        </w:rPr>
      </w:pPr>
      <w:r w:rsidRPr="00851510">
        <w:rPr>
          <w:b/>
          <w:bCs/>
          <w:sz w:val="28"/>
          <w:szCs w:val="28"/>
        </w:rPr>
        <w:t>МІЖНАРОДНІ ЗОБОВʼЯЗАННЯ УКРАЇНИ У СФЕРІ ЗАПОБІГАННЯ ВИКОРИСТАННЮ ФІНАНСОВОЇ СИСТЕМИ ДЛЯ ЦІЛЕЙ ВІДМИВАННЯ ГРОШЕЙ АБО ФІНАНСУВАННЯ ТЕРОРИЗМУ</w:t>
      </w:r>
    </w:p>
    <w:p w14:paraId="1C3F06DA" w14:textId="77777777" w:rsidR="00851510" w:rsidRPr="00851510" w:rsidRDefault="00851510" w:rsidP="00851510">
      <w:pPr>
        <w:pStyle w:val="a3"/>
        <w:spacing w:before="0" w:beforeAutospacing="0" w:after="0" w:afterAutospacing="0" w:line="360" w:lineRule="auto"/>
        <w:ind w:firstLine="567"/>
        <w:jc w:val="both"/>
        <w:rPr>
          <w:sz w:val="28"/>
          <w:szCs w:val="28"/>
        </w:rPr>
      </w:pPr>
    </w:p>
    <w:p w14:paraId="7544E39D" w14:textId="77777777" w:rsidR="00851510" w:rsidRDefault="00851510" w:rsidP="00851510">
      <w:pPr>
        <w:pStyle w:val="a3"/>
        <w:spacing w:before="0" w:beforeAutospacing="0" w:after="0" w:afterAutospacing="0" w:line="360" w:lineRule="auto"/>
        <w:ind w:firstLine="567"/>
        <w:jc w:val="both"/>
        <w:rPr>
          <w:sz w:val="28"/>
          <w:szCs w:val="28"/>
        </w:rPr>
      </w:pPr>
    </w:p>
    <w:p w14:paraId="49A70C68" w14:textId="47171081"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 xml:space="preserve">Україна прийняла на себе </w:t>
      </w:r>
      <w:r>
        <w:rPr>
          <w:sz w:val="28"/>
          <w:szCs w:val="28"/>
        </w:rPr>
        <w:t xml:space="preserve">низку </w:t>
      </w:r>
      <w:r w:rsidRPr="00851510">
        <w:rPr>
          <w:sz w:val="28"/>
          <w:szCs w:val="28"/>
        </w:rPr>
        <w:t>зобов`язан</w:t>
      </w:r>
      <w:r>
        <w:rPr>
          <w:sz w:val="28"/>
          <w:szCs w:val="28"/>
        </w:rPr>
        <w:t>ь</w:t>
      </w:r>
      <w:r w:rsidRPr="00851510">
        <w:rPr>
          <w:sz w:val="28"/>
          <w:szCs w:val="28"/>
        </w:rPr>
        <w:t xml:space="preserve"> вести боротьбу з організованою злочинністю та легалізацією (відмиванням) коштів</w:t>
      </w:r>
      <w:r>
        <w:rPr>
          <w:sz w:val="28"/>
          <w:szCs w:val="28"/>
        </w:rPr>
        <w:t>, оскільки</w:t>
      </w:r>
      <w:r w:rsidRPr="00851510">
        <w:rPr>
          <w:sz w:val="28"/>
          <w:szCs w:val="28"/>
        </w:rPr>
        <w:t xml:space="preserve"> порушення законодавства у сфері фінансового моніторингу становить загрозу міжнародній та національній безпеці у фінансовій сфері.</w:t>
      </w:r>
    </w:p>
    <w:p w14:paraId="4C082121" w14:textId="0C99C3B3"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 xml:space="preserve">Відповідно до </w:t>
      </w:r>
      <w:r>
        <w:rPr>
          <w:sz w:val="28"/>
          <w:szCs w:val="28"/>
        </w:rPr>
        <w:t xml:space="preserve">статті 20 </w:t>
      </w:r>
      <w:r w:rsidRPr="00851510">
        <w:rPr>
          <w:sz w:val="28"/>
          <w:szCs w:val="28"/>
        </w:rPr>
        <w:t xml:space="preserve">Угоди між Україною, з однієї сторони, та Європейським Союзом, Європейським співтовариством з атомної енергії і їхніми державами-членами, з іншої сторони від 27 червня 2014 року (ратифікована із заявою </w:t>
      </w:r>
      <w:hyperlink r:id="rId4" w:tgtFrame="_blank" w:history="1">
        <w:r w:rsidRPr="00851510">
          <w:rPr>
            <w:rStyle w:val="a4"/>
            <w:color w:val="auto"/>
            <w:sz w:val="28"/>
            <w:szCs w:val="28"/>
            <w:u w:val="none"/>
          </w:rPr>
          <w:t>Законом № 1678-VII від 16 вересня 2014 року</w:t>
        </w:r>
      </w:hyperlink>
      <w:r w:rsidRPr="00851510">
        <w:rPr>
          <w:sz w:val="28"/>
          <w:szCs w:val="28"/>
        </w:rPr>
        <w:t>) сторони співробітничають з метою запобігання та боротьби з легалізацією (відмиванням) коштів та фінансуванням тероризму. Із цією метою Сторони посилюють двостороннє та міжнародне співробітництво у цій сфері, зокрема співробітництво на оперативному рівні. Сторони забезпечують імплементацію відповідних міжнародних стандартів, зокрема стандартів Групи з розробки фінансових заходів боротьби з відмиванням грошей та фінансуванням тероризму (FATF) та стандартів, рівнозначних тим, які були прийняті Союзом.</w:t>
      </w:r>
    </w:p>
    <w:p w14:paraId="6EEBBBDD"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У Спільній заяві від 2 липня 2022 року Президента України, Голови Верховної Ради України, Прем`єр-міністра України щодо рішення Європейської Ради про надання Україні статусу кандидата на членство в Європейському Союзі Україна висловила рішучу налаштованість на виконання рекомендацій, визначених у Висновку Європейської Комісії від 17 червня 2022 року та рішенні Європейської Ради від 23-24 червня 2022 року про надання Україні статусу кандидата на членство в ЄС, одним з яких є боротьба з відмиванням коштів.</w:t>
      </w:r>
    </w:p>
    <w:p w14:paraId="6492F50F"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lastRenderedPageBreak/>
        <w:t>Крім того, відповідно до статті 6 Конвенції Ради Європи про відмивання, пошук, арешт та конфіскацію доходів, одержаних злочинним шляхом (Convention on Laundering, Search, Seizure and Confiscation of the Proceeds from Crime), від 8</w:t>
      </w:r>
      <w:r w:rsidRPr="00851510">
        <w:rPr>
          <w:b/>
          <w:bCs/>
          <w:sz w:val="28"/>
          <w:szCs w:val="28"/>
        </w:rPr>
        <w:t xml:space="preserve"> </w:t>
      </w:r>
      <w:r w:rsidRPr="00851510">
        <w:rPr>
          <w:sz w:val="28"/>
          <w:szCs w:val="28"/>
        </w:rPr>
        <w:t xml:space="preserve">листопада 1990 року (Конвенцію ратифіковано із заявами і застереженнями </w:t>
      </w:r>
      <w:hyperlink r:id="rId5" w:tgtFrame="_blank" w:history="1">
        <w:r w:rsidRPr="00851510">
          <w:rPr>
            <w:rStyle w:val="a4"/>
            <w:color w:val="auto"/>
            <w:sz w:val="28"/>
            <w:szCs w:val="28"/>
            <w:u w:val="none"/>
          </w:rPr>
          <w:t>Законом № 738/97-ВР (738/97-ВР) від 17 грудня 1997 року</w:t>
        </w:r>
      </w:hyperlink>
      <w:r w:rsidRPr="00851510">
        <w:rPr>
          <w:sz w:val="28"/>
          <w:szCs w:val="28"/>
        </w:rPr>
        <w:t>) кожна Сторона вживає таких законодавчих та інших заходів, які можуть бути необхідними для того, щоб дії, вчинені навмисно, розглядалися внутрішнім законодавством як злочини, а саме:</w:t>
      </w:r>
    </w:p>
    <w:p w14:paraId="74D03050"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a) перетворення або передача власності, усвідомлюючи, що така власність є доходом, з метою приховування або маскування незаконного походження власності або з метою сприяння будь-якій особі, замішаній у вчинені предикатного злочину, уникнути правових наслідків її дій;</w:t>
      </w:r>
    </w:p>
    <w:p w14:paraId="71DA7488"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b) приховування або маскування справжнього характеру, джерела, місцезнаходження, стану, переміщення, прав стосовно власності або володіння нею, усвідомлюючи, що така власність є доходом;</w:t>
      </w:r>
    </w:p>
    <w:p w14:paraId="64B56ED4"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і з урахуванням її конституційних принципів і фундаментальних засад її правової системи:</w:t>
      </w:r>
    </w:p>
    <w:p w14:paraId="1F69AABC"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c) набуття, володіння або використання власності, усвідомлюючи під час отримання, що така власність була доходом;</w:t>
      </w:r>
    </w:p>
    <w:p w14:paraId="33C7C178"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d) участь у вчиненні, об`єднання або змова з метою вчинення, замах на вчинення, пособництво, підмова, сприяння і поради щодо вчинення будь-якого із злочинів, визначених відповідно до цієї статті.</w:t>
      </w:r>
    </w:p>
    <w:p w14:paraId="1155E3E6"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 xml:space="preserve">Також з метою сприяння співробітництву в справі більш ефективного попередження транснаціональної організованої злочинності та боротьби з нею Резолюцією 55/25 Генеральної Асамблеї від 15 листопада 2000 року було прийнято Конвенцію Організації Об`єднаних Націй проти транснаціональної організованої злочинності (United Nations Convention Against Transnational Organized Crime) (Конвенцію ратифіковано із застереженнями і заявами </w:t>
      </w:r>
      <w:hyperlink r:id="rId6" w:tgtFrame="_blank" w:history="1">
        <w:r w:rsidRPr="00851510">
          <w:rPr>
            <w:rStyle w:val="a4"/>
            <w:color w:val="auto"/>
            <w:sz w:val="28"/>
            <w:szCs w:val="28"/>
            <w:u w:val="none"/>
          </w:rPr>
          <w:t>Законом № 1433-IV (1433-15) від 4 лютого 2004 року</w:t>
        </w:r>
      </w:hyperlink>
      <w:r w:rsidRPr="00851510">
        <w:rPr>
          <w:sz w:val="28"/>
          <w:szCs w:val="28"/>
        </w:rPr>
        <w:t>).</w:t>
      </w:r>
    </w:p>
    <w:p w14:paraId="2714B716"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 xml:space="preserve">Відповідно до статті 2 Конвенції Ради Європи про відмивання, пошук, арешт та конфіскацію доходів, одержаних злочинним шляхом, та про </w:t>
      </w:r>
      <w:r w:rsidRPr="00851510">
        <w:rPr>
          <w:sz w:val="28"/>
          <w:szCs w:val="28"/>
        </w:rPr>
        <w:lastRenderedPageBreak/>
        <w:t xml:space="preserve">фінансування тероризму від 16 травня 2005 року (Конвенцію ратифіковано з заявами і застереженнями </w:t>
      </w:r>
      <w:hyperlink r:id="rId7" w:tgtFrame="_blank" w:history="1">
        <w:r w:rsidRPr="00851510">
          <w:rPr>
            <w:rStyle w:val="a4"/>
            <w:color w:val="auto"/>
            <w:sz w:val="28"/>
            <w:szCs w:val="28"/>
            <w:u w:val="none"/>
          </w:rPr>
          <w:t>Законом № 2698-VI (2698-17) від 17 листопада 2010 року</w:t>
        </w:r>
      </w:hyperlink>
      <w:r w:rsidRPr="00851510">
        <w:rPr>
          <w:sz w:val="28"/>
          <w:szCs w:val="28"/>
        </w:rPr>
        <w:t>) кожна Сторона забезпечує свою спроможність здійснювати пошук, відстежувати, визначати, заблоковувати, заарештовувати й конфісковувати майно, законного або незаконного походження, використане або призначене для використання будь-яким чином цілком або частково, для фінансування тероризму, або доходи, одержані в результаті цього злочину, та забезпечити із цією метою співробітництво в якомога більшому обсязі.</w:t>
      </w:r>
    </w:p>
    <w:p w14:paraId="60C09A3C"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 xml:space="preserve">Крім того, Директивою Європейського Парламенту і Ради (ЄС) 2015/849 від 20 травня 2015 року про запобігання використанню фінансової системи для цілей відмивання грошей або фінансування тероризму, про внесення змін до </w:t>
      </w:r>
      <w:hyperlink r:id="rId8" w:tgtFrame="_blank" w:history="1">
        <w:r w:rsidRPr="00851510">
          <w:rPr>
            <w:rStyle w:val="a4"/>
            <w:color w:val="auto"/>
            <w:sz w:val="28"/>
            <w:szCs w:val="28"/>
            <w:u w:val="none"/>
          </w:rPr>
          <w:t>Регламенту Європейського Парламенту</w:t>
        </w:r>
      </w:hyperlink>
      <w:r w:rsidRPr="00851510">
        <w:rPr>
          <w:sz w:val="28"/>
          <w:szCs w:val="28"/>
        </w:rPr>
        <w:t xml:space="preserve"> і Ради (ЄС) № 648/2012 та про скасування Директиви Європейського Парламенту і Ради 2005/60/ЄС та Директиви Комісії 2006/70/ЄС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визначено, що для цілей цієї Директиви такі діяння, якщо вони вчинені умисно, повинні вважатися відмиванням грошей: </w:t>
      </w:r>
    </w:p>
    <w:p w14:paraId="57E9E86E"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 xml:space="preserve">(a) конвертація або передавання власності з усвідомленням того, що ця власність отримана внаслідок злочинної діяльності або акту участі в такій діяльності, з ціллю приховування або укривання незаконного походження власності або надавання допомоги будь-якій особі, причетній до здійснення такої діяльності, для уникнення юридичних наслідків діяння такої особи; </w:t>
      </w:r>
    </w:p>
    <w:p w14:paraId="4386AEBC"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 xml:space="preserve">(b) приховування або укривання дійсної природи, джерела походження, розташування, відчуження, руху власності, речових або майнових прав на власність з усвідомленням того, що така власність отримана внаслідок злочинної діяльності або акту участі в такій діяльності; </w:t>
      </w:r>
    </w:p>
    <w:p w14:paraId="20EA35EB"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lastRenderedPageBreak/>
        <w:t xml:space="preserve">(b) придбання власності, володіння нею або її використання з усвідомленням того, що така власність отримана внаслідок злочинної діяльності або акту участі в такій діяльності; </w:t>
      </w:r>
    </w:p>
    <w:p w14:paraId="5423471F"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(d) участь у вчиненні будь-якої з дій, зазначених у пунктах (a), (b) та (с), об`єднання з іншими особами для її вчинення, спроби її вчинення і надання допомоги для її вчинення, співучасть у її вчинені, сприяння її вчиненню та консультування стосовно її вчинення.</w:t>
      </w:r>
    </w:p>
    <w:p w14:paraId="686C466D"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Відмивання грошей повинно вважатися таким, навіть якщо діяльність, що внаслідок неї було отримано власність, яка відмивається, була здійснена на території іншої держави-члена або третьої країни.</w:t>
      </w:r>
    </w:p>
    <w:p w14:paraId="1CD6BF75"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Також необхідно згадати, що застосовуючи положення вищезгаданої Директиви (ЄС) 2015/849, Суд ЄС ухвалив рішення від 22 листопада 2022 року в об`єднаних справах № C-37/20 та № C-601/20, (EU Court of Justice: Judgment of the Court in joined Cases C-37/20 and C-601/20: Luxembourg Business Registers and Sovim Anti-money-laundering directive), які стосувалися прийняття закону про публічне розкриття інформації про бенефіціарних власників корпоративних та інших юридичних осіб організації з метою забезпечення прозорості їх діяльності та запобігання відмиванню грошей і фінансуванню тероризму. У цьому рішенні Суд ЄС визнав, що за допомогою заходу, про який йдеться, законодавча влада ЄС прагне запобігти відмиванню грошей і фінансуванню тероризму, створюючи за допомогою підвищеної прозорості середовища, яке менш імовірно буде використано для цих цілей; таким чином законодавча влада переслідує мету загального інтересу, яка може виправдати навіть серйозне втручання в основні права, і що доступ широкої громадськості до інформації про бенефіціарну власність є доречним для сприяння досягненню цієї мети.</w:t>
      </w:r>
    </w:p>
    <w:p w14:paraId="757BA8A4" w14:textId="5A4D796E"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 xml:space="preserve">Крім того, що 14 грудня 2022 року на засіданні Ради Європи було ухвалено План дій Ради Європи для України «Стійкість, відновлення та реконструкція» на 2023-2026 року (Council of Europe Action Plan for Ukraine «Resilience, Recovery and Reconstruction» 2023-2026), в якому одним із завдань визначено сприяння досягненню Україною відповідності стандартам Групи розробки фінансових заходів боротьби з відмиванням грошей (FATF), надання технічної підтримки, </w:t>
      </w:r>
      <w:r w:rsidRPr="00851510">
        <w:rPr>
          <w:sz w:val="28"/>
          <w:szCs w:val="28"/>
        </w:rPr>
        <w:lastRenderedPageBreak/>
        <w:t>юридичних та політичних консультацій органам влади щодо виконання невиконаних рекомендацій Комітету експертів з оцінки заходів протидії відмиванню грошей та фінансуванню боротьби з тероризмом (MONEYVAL)</w:t>
      </w:r>
      <w:r w:rsidR="008E31A8">
        <w:rPr>
          <w:sz w:val="28"/>
          <w:szCs w:val="28"/>
        </w:rPr>
        <w:t>,</w:t>
      </w:r>
      <w:r w:rsidRPr="00851510">
        <w:rPr>
          <w:sz w:val="28"/>
          <w:szCs w:val="28"/>
        </w:rPr>
        <w:t xml:space="preserve"> узгодження </w:t>
      </w:r>
      <w:r w:rsidR="008E31A8">
        <w:rPr>
          <w:sz w:val="28"/>
          <w:szCs w:val="28"/>
        </w:rPr>
        <w:t xml:space="preserve">із </w:t>
      </w:r>
      <w:r w:rsidR="008E31A8" w:rsidRPr="00851510">
        <w:rPr>
          <w:sz w:val="28"/>
          <w:szCs w:val="28"/>
        </w:rPr>
        <w:t>стандарт</w:t>
      </w:r>
      <w:r w:rsidR="008E31A8">
        <w:rPr>
          <w:sz w:val="28"/>
          <w:szCs w:val="28"/>
        </w:rPr>
        <w:t>ами</w:t>
      </w:r>
      <w:r w:rsidR="008E31A8" w:rsidRPr="00851510">
        <w:rPr>
          <w:sz w:val="28"/>
          <w:szCs w:val="28"/>
        </w:rPr>
        <w:t xml:space="preserve"> ЄС </w:t>
      </w:r>
      <w:r w:rsidRPr="00851510">
        <w:rPr>
          <w:sz w:val="28"/>
          <w:szCs w:val="28"/>
        </w:rPr>
        <w:t>української системи запобігання та боротьби з відмиванням грошей і фінансуванням тероризму, а також фінансуванням розповсюдження зброї масового знищення</w:t>
      </w:r>
      <w:r w:rsidR="008E31A8">
        <w:rPr>
          <w:sz w:val="28"/>
          <w:szCs w:val="28"/>
        </w:rPr>
        <w:t>.</w:t>
      </w:r>
    </w:p>
    <w:p w14:paraId="2401A42D"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Аналогічні завдання визначені Меморандумом про взаєморозуміння між Україною як позичальником та Європейським Союзом як кредитором (Memorandum of Understanding and loan agreement for the third EU Macro-Financial Assistance (MFA) programme to Ukraine), укладеним на підставі Регламенту (ЄС) 2022/2463 Європейського Парламенту та Ради від 14 грудня 2022 року про створення Інструменту надання підтримки Україні на 2023 рік (макрофінансова допомога +), ОJ L 322, 16 грудня 2022 року (Regulation (EU) 2022/2463 of the European Parliament and of the Council of 14 December 2022 establishing an instrument for providing support to Ukraine for 2023 (macro-financial assistance +). Зокрема, зазначено, що до важливих реформ внутрішньої політики належить утвердження верховенства права, що включає, крім іншого, удосконалення нормативно-правової бази у сфері протидії відмиванню коштів та фінансуванню тероризму шляхом розробки відповідного вторинного законодавства та досягнення прогресу в розвитку інституційної спроможності щодо бенефіціарної власності (3 квартал 2023 року).</w:t>
      </w:r>
    </w:p>
    <w:p w14:paraId="6E040AEB" w14:textId="737CDC47" w:rsidR="00851510" w:rsidRPr="00851510" w:rsidRDefault="005A776D" w:rsidP="00851510">
      <w:pPr>
        <w:pStyle w:val="a3"/>
        <w:spacing w:before="0" w:beforeAutospacing="0" w:after="0" w:afterAutospacing="0" w:line="360" w:lineRule="auto"/>
        <w:ind w:firstLine="567"/>
        <w:jc w:val="both"/>
        <w:rPr>
          <w:sz w:val="28"/>
          <w:szCs w:val="28"/>
        </w:rPr>
      </w:pPr>
      <w:r>
        <w:rPr>
          <w:sz w:val="28"/>
          <w:szCs w:val="28"/>
        </w:rPr>
        <w:t>П</w:t>
      </w:r>
      <w:r w:rsidRPr="00851510">
        <w:rPr>
          <w:sz w:val="28"/>
          <w:szCs w:val="28"/>
        </w:rPr>
        <w:t>рийня</w:t>
      </w:r>
      <w:r>
        <w:rPr>
          <w:sz w:val="28"/>
          <w:szCs w:val="28"/>
        </w:rPr>
        <w:t>т</w:t>
      </w:r>
      <w:r w:rsidRPr="00851510">
        <w:rPr>
          <w:sz w:val="28"/>
          <w:szCs w:val="28"/>
        </w:rPr>
        <w:t>т</w:t>
      </w:r>
      <w:r>
        <w:rPr>
          <w:sz w:val="28"/>
          <w:szCs w:val="28"/>
        </w:rPr>
        <w:t>я</w:t>
      </w:r>
      <w:r w:rsidRPr="00851510">
        <w:rPr>
          <w:sz w:val="28"/>
          <w:szCs w:val="28"/>
        </w:rPr>
        <w:t xml:space="preserve"> </w:t>
      </w:r>
      <w:hyperlink r:id="rId9" w:tgtFrame="_blank" w:history="1">
        <w:r w:rsidRPr="00851510">
          <w:rPr>
            <w:rStyle w:val="a4"/>
            <w:color w:val="auto"/>
            <w:sz w:val="28"/>
            <w:szCs w:val="28"/>
            <w:u w:val="none"/>
          </w:rPr>
          <w:t>Закон</w:t>
        </w:r>
        <w:r>
          <w:rPr>
            <w:rStyle w:val="a4"/>
            <w:color w:val="auto"/>
            <w:sz w:val="28"/>
            <w:szCs w:val="28"/>
            <w:u w:val="none"/>
          </w:rPr>
          <w:t>у</w:t>
        </w:r>
        <w:r w:rsidRPr="00851510">
          <w:rPr>
            <w:rStyle w:val="a4"/>
            <w:color w:val="auto"/>
            <w:sz w:val="28"/>
            <w:szCs w:val="28"/>
            <w:u w:val="none"/>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w:t>
        </w:r>
      </w:hyperlink>
      <w:r>
        <w:rPr>
          <w:rStyle w:val="a4"/>
          <w:color w:val="auto"/>
          <w:sz w:val="28"/>
          <w:szCs w:val="28"/>
          <w:u w:val="none"/>
        </w:rPr>
        <w:t xml:space="preserve"> було спрямоване н</w:t>
      </w:r>
      <w:r w:rsidR="00851510" w:rsidRPr="00851510">
        <w:rPr>
          <w:sz w:val="28"/>
          <w:szCs w:val="28"/>
        </w:rPr>
        <w:t xml:space="preserve">а виконання міжнародних зобов`язань у сфері протидії легалізації (відмиванню) доходів, одержаних злочинним шляхом, пункту 26 Плану заходів на 2017- 2019 роки з реалізації Стратегії розвитку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 період до 2020 року, затвердженого розпорядженням Кабінету Міністрів України від 30 серпня 2017 року № 601-р; </w:t>
      </w:r>
      <w:r w:rsidR="00851510" w:rsidRPr="00851510">
        <w:rPr>
          <w:sz w:val="28"/>
          <w:szCs w:val="28"/>
        </w:rPr>
        <w:lastRenderedPageBreak/>
        <w:t xml:space="preserve">пунктів 35 та 586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Уряду від 25 жовтня 2017 року № 1106; </w:t>
      </w:r>
      <w:hyperlink r:id="rId10" w:tgtFrame="_blank" w:history="1">
        <w:r w:rsidR="00851510" w:rsidRPr="00851510">
          <w:rPr>
            <w:rStyle w:val="a4"/>
            <w:color w:val="auto"/>
            <w:sz w:val="28"/>
            <w:szCs w:val="28"/>
            <w:u w:val="none"/>
          </w:rPr>
          <w:t>пункту 36e</w:t>
        </w:r>
      </w:hyperlink>
      <w:r w:rsidR="00851510" w:rsidRPr="00851510">
        <w:rPr>
          <w:sz w:val="28"/>
          <w:szCs w:val="28"/>
        </w:rPr>
        <w:t xml:space="preserve"> Меморандуму про співпрацю між Україною та МВФ та з метою імплементації норм четвертої Директиви (ЄС) 2015/849 «Про запобігання використанню фінансової системи для відмивання грошей та фінансування тероризму» та норм Регламенту (ЄС) 2015/847 «Про інформацію, що супроводжує грошові перекази» і виконання ключових умов для надання Європейським Союзом Україні в жовтні 2019 року другого траншу макрофінансової допомоги розміром 500 млн євро.</w:t>
      </w:r>
    </w:p>
    <w:p w14:paraId="2C23B888" w14:textId="77777777" w:rsidR="00851510" w:rsidRPr="00851510" w:rsidRDefault="005A776D" w:rsidP="00851510">
      <w:pPr>
        <w:pStyle w:val="a3"/>
        <w:spacing w:before="0" w:beforeAutospacing="0" w:after="0" w:afterAutospacing="0" w:line="360" w:lineRule="auto"/>
        <w:ind w:firstLine="567"/>
        <w:jc w:val="both"/>
        <w:rPr>
          <w:sz w:val="28"/>
          <w:szCs w:val="28"/>
        </w:rPr>
      </w:pPr>
      <w:hyperlink r:id="rId11" w:anchor="n151" w:tgtFrame="_blank" w:history="1">
        <w:r w:rsidR="00851510" w:rsidRPr="00851510">
          <w:rPr>
            <w:rStyle w:val="a4"/>
            <w:color w:val="auto"/>
            <w:sz w:val="28"/>
            <w:szCs w:val="28"/>
            <w:u w:val="none"/>
          </w:rPr>
          <w:t>Частиною першою статті 3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hyperlink>
      <w:r w:rsidR="00851510" w:rsidRPr="00851510">
        <w:rPr>
          <w:sz w:val="28"/>
          <w:szCs w:val="28"/>
        </w:rPr>
        <w:t xml:space="preserve"> передбачено, що запобігання та протидія ґрунтуються на принципах, зокрема: пріоритетності захисту законних інтересів громадян, суспільства і держави від шкоди, заподіяної внаслідок легалізації (відмивання) доходів, одержаних злочинним шляхом, фінансування тероризму та фінансування розповсюдження зброї масового знищення; надання пріоритету заходам із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над заходами з протидії їм; застосування ризик-орієнтованого підходу під час проведення фінансового моніторингу.</w:t>
      </w:r>
    </w:p>
    <w:p w14:paraId="716B0741"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 xml:space="preserve">Важливість посиленого контролю у сфері фінансового моніторингу також підтверджується положеннями </w:t>
      </w:r>
      <w:hyperlink r:id="rId12" w:anchor="n696" w:tgtFrame="_blank" w:history="1">
        <w:r w:rsidRPr="00851510">
          <w:rPr>
            <w:rStyle w:val="a4"/>
            <w:color w:val="auto"/>
            <w:sz w:val="28"/>
            <w:szCs w:val="28"/>
            <w:u w:val="none"/>
          </w:rPr>
          <w:t>статті 68 Закону України «Про Національний банк України»</w:t>
        </w:r>
      </w:hyperlink>
      <w:r w:rsidRPr="00851510">
        <w:rPr>
          <w:sz w:val="28"/>
          <w:szCs w:val="28"/>
        </w:rPr>
        <w:t xml:space="preserve">, відповідно до якої Національний банк розміщує (публікує) в установленому ним порядку на сторінках офіційного Інтернет-представництва Національного банку інформацію, пов`язану з порушенням банком (філією іноземного банку, небанківською фінансовою установою, іншою юридичною особою,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w:t>
      </w:r>
      <w:r w:rsidRPr="00851510">
        <w:rPr>
          <w:sz w:val="28"/>
          <w:szCs w:val="28"/>
        </w:rPr>
        <w:lastRenderedPageBreak/>
        <w:t>здійснює Національний банк) законів України та/або нормативно-правових актів Національного банку,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із зазначенням назви банку (філії іноземного банку, небанківської фінансової установи, іншої юридичної особи,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зокрема, відомості про оскарження вищезазначених заходів впливу та про відповідне рішення суду, що набрало законної сили (за наявності).</w:t>
      </w:r>
    </w:p>
    <w:p w14:paraId="32023E40" w14:textId="2A6736E0"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 xml:space="preserve">Крім того, розглядаючи конституційне подання 47 народних депутатів України щодо відповідності </w:t>
      </w:r>
      <w:hyperlink r:id="rId13" w:tgtFrame="_blank" w:history="1">
        <w:r w:rsidRPr="00851510">
          <w:rPr>
            <w:rStyle w:val="a4"/>
            <w:color w:val="auto"/>
            <w:sz w:val="28"/>
            <w:szCs w:val="28"/>
            <w:u w:val="none"/>
          </w:rPr>
          <w:t>Конституції України</w:t>
        </w:r>
      </w:hyperlink>
      <w:r w:rsidRPr="00851510">
        <w:rPr>
          <w:sz w:val="28"/>
          <w:szCs w:val="28"/>
        </w:rPr>
        <w:t xml:space="preserve"> (конституційності) </w:t>
      </w:r>
      <w:hyperlink r:id="rId14" w:tgtFrame="_blank" w:history="1">
        <w:r w:rsidRPr="00851510">
          <w:rPr>
            <w:rStyle w:val="a4"/>
            <w:color w:val="auto"/>
            <w:sz w:val="28"/>
            <w:szCs w:val="28"/>
            <w:u w:val="none"/>
          </w:rPr>
          <w:t>статей 96-1</w:t>
        </w:r>
      </w:hyperlink>
      <w:r w:rsidRPr="00851510">
        <w:rPr>
          <w:sz w:val="28"/>
          <w:szCs w:val="28"/>
        </w:rPr>
        <w:t xml:space="preserve">, </w:t>
      </w:r>
      <w:hyperlink r:id="rId15" w:anchor="n4591" w:tgtFrame="_blank" w:history="1">
        <w:r w:rsidRPr="00851510">
          <w:rPr>
            <w:rStyle w:val="a4"/>
            <w:color w:val="auto"/>
            <w:sz w:val="28"/>
            <w:szCs w:val="28"/>
            <w:u w:val="none"/>
          </w:rPr>
          <w:t>96</w:t>
        </w:r>
      </w:hyperlink>
      <w:r w:rsidRPr="00851510">
        <w:rPr>
          <w:b/>
          <w:bCs/>
          <w:sz w:val="28"/>
          <w:szCs w:val="28"/>
        </w:rPr>
        <w:t>-</w:t>
      </w:r>
      <w:r w:rsidRPr="00851510">
        <w:rPr>
          <w:sz w:val="28"/>
          <w:szCs w:val="28"/>
        </w:rPr>
        <w:t xml:space="preserve">2 </w:t>
      </w:r>
      <w:hyperlink r:id="rId16" w:tgtFrame="_blank" w:history="1">
        <w:r w:rsidRPr="00851510">
          <w:rPr>
            <w:rStyle w:val="a4"/>
            <w:color w:val="auto"/>
            <w:sz w:val="28"/>
            <w:szCs w:val="28"/>
            <w:u w:val="none"/>
          </w:rPr>
          <w:t>Кримінального кодексу України</w:t>
        </w:r>
      </w:hyperlink>
      <w:r w:rsidRPr="00851510">
        <w:rPr>
          <w:sz w:val="28"/>
          <w:szCs w:val="28"/>
        </w:rPr>
        <w:t xml:space="preserve"> (щодо спеціальної конфіскації), Конституційний Суд України у </w:t>
      </w:r>
      <w:hyperlink r:id="rId17" w:tgtFrame="_blank" w:history="1">
        <w:r w:rsidRPr="00851510">
          <w:rPr>
            <w:rStyle w:val="a4"/>
            <w:color w:val="auto"/>
            <w:sz w:val="28"/>
            <w:szCs w:val="28"/>
            <w:u w:val="none"/>
          </w:rPr>
          <w:t>пунктах 2.3</w:t>
        </w:r>
      </w:hyperlink>
      <w:r w:rsidRPr="00851510">
        <w:rPr>
          <w:sz w:val="28"/>
          <w:szCs w:val="28"/>
        </w:rPr>
        <w:t xml:space="preserve"> та </w:t>
      </w:r>
      <w:hyperlink r:id="rId18" w:tgtFrame="_blank" w:history="1">
        <w:r w:rsidRPr="00851510">
          <w:rPr>
            <w:rStyle w:val="a4"/>
            <w:color w:val="auto"/>
            <w:sz w:val="28"/>
            <w:szCs w:val="28"/>
            <w:u w:val="none"/>
          </w:rPr>
          <w:t>2.5 мотивувальної частини Рішення від 30 червня 2022 року № 1-р/2022</w:t>
        </w:r>
      </w:hyperlink>
      <w:r w:rsidRPr="00851510">
        <w:rPr>
          <w:sz w:val="28"/>
          <w:szCs w:val="28"/>
        </w:rPr>
        <w:t xml:space="preserve"> зазначив, що з огляду на те, що Україна є стороною низки міжнародних договорів, що регулюють відносини з конфіскації або іншого примусового безоплатного вилучення доходів, одержаних унаслідок злочинної або іншої протиправної діяльності, </w:t>
      </w:r>
      <w:r w:rsidR="005A776D">
        <w:rPr>
          <w:sz w:val="28"/>
          <w:szCs w:val="28"/>
        </w:rPr>
        <w:t>існує</w:t>
      </w:r>
      <w:r w:rsidRPr="00851510">
        <w:rPr>
          <w:sz w:val="28"/>
          <w:szCs w:val="28"/>
        </w:rPr>
        <w:t xml:space="preserve"> необхідність внесення змін до </w:t>
      </w:r>
      <w:hyperlink r:id="rId19" w:tgtFrame="_blank" w:history="1">
        <w:r w:rsidRPr="00851510">
          <w:rPr>
            <w:rStyle w:val="a4"/>
            <w:color w:val="auto"/>
            <w:sz w:val="28"/>
            <w:szCs w:val="28"/>
            <w:u w:val="none"/>
          </w:rPr>
          <w:t>Кримінального кодексу України</w:t>
        </w:r>
      </w:hyperlink>
      <w:r w:rsidRPr="00851510">
        <w:rPr>
          <w:sz w:val="28"/>
          <w:szCs w:val="28"/>
        </w:rPr>
        <w:t>, щоб забезпечити обов`язкове застосування заходів з питань конфіскації доходів, одержаних шляхом учинення всіх корупційних правопорушень або правопорушень, пов`язаних з корупцією; забезпечити, щоб режим конфіскації допускав конфіскацію доходів або застосування грошових санкцій із співставними наслідками; переглянути тимчасові заходи, щоб зробити процедуру виявлення та арешту доходів, одержаних шляхом корупційних дій на етапах кримінального розслідування та кримінального переслідування, ефективною та дієвою.</w:t>
      </w:r>
    </w:p>
    <w:p w14:paraId="1B1AFDFC" w14:textId="77777777" w:rsidR="00851510" w:rsidRPr="00851510" w:rsidRDefault="00851510" w:rsidP="00851510">
      <w:pPr>
        <w:pStyle w:val="a3"/>
        <w:spacing w:before="0" w:beforeAutospacing="0" w:after="0" w:afterAutospacing="0" w:line="360" w:lineRule="auto"/>
        <w:ind w:firstLine="567"/>
        <w:jc w:val="both"/>
        <w:rPr>
          <w:sz w:val="28"/>
          <w:szCs w:val="28"/>
        </w:rPr>
      </w:pPr>
      <w:r w:rsidRPr="00851510">
        <w:rPr>
          <w:sz w:val="28"/>
          <w:szCs w:val="28"/>
        </w:rPr>
        <w:t xml:space="preserve">В </w:t>
      </w:r>
      <w:hyperlink r:id="rId20" w:tgtFrame="_blank" w:history="1">
        <w:r w:rsidRPr="00851510">
          <w:rPr>
            <w:rStyle w:val="a4"/>
            <w:color w:val="auto"/>
            <w:sz w:val="28"/>
            <w:szCs w:val="28"/>
            <w:u w:val="none"/>
          </w:rPr>
          <w:t>абзаці третьому пункту 2.8 мотивувальної частини вищезазначеного Рішення</w:t>
        </w:r>
      </w:hyperlink>
      <w:r w:rsidRPr="00851510">
        <w:rPr>
          <w:sz w:val="28"/>
          <w:szCs w:val="28"/>
        </w:rPr>
        <w:t xml:space="preserve"> Конституційний Суд України підсумував, що унормування відносин із застосування спеціальної конфіскації оспорюваними статтями </w:t>
      </w:r>
      <w:hyperlink r:id="rId21" w:tgtFrame="_blank" w:history="1">
        <w:r w:rsidRPr="00851510">
          <w:rPr>
            <w:rStyle w:val="a4"/>
            <w:color w:val="auto"/>
            <w:sz w:val="28"/>
            <w:szCs w:val="28"/>
            <w:u w:val="none"/>
          </w:rPr>
          <w:t>Кримінального кодексу України</w:t>
        </w:r>
      </w:hyperlink>
      <w:r w:rsidRPr="00851510">
        <w:rPr>
          <w:sz w:val="28"/>
          <w:szCs w:val="28"/>
        </w:rPr>
        <w:t xml:space="preserve"> було здійснено з метою адаптації, уніфікації та гармонізації </w:t>
      </w:r>
      <w:r w:rsidRPr="00851510">
        <w:rPr>
          <w:sz w:val="28"/>
          <w:szCs w:val="28"/>
        </w:rPr>
        <w:lastRenderedPageBreak/>
        <w:t>національного законодавства України з актами Європейського Союзу як складниками процесу євроінтеграції України; євроінтеграція України вимагає утвердження правдивої демократії, додержання людських прав та верховенства права (правовладдя) як загальноєвропейських цінностей.</w:t>
      </w:r>
    </w:p>
    <w:p w14:paraId="3FD89E69" w14:textId="77777777" w:rsidR="005A776D" w:rsidRDefault="005A776D" w:rsidP="00851510">
      <w:pPr>
        <w:pStyle w:val="a3"/>
        <w:spacing w:before="0" w:beforeAutospacing="0" w:after="0" w:afterAutospacing="0" w:line="360" w:lineRule="auto"/>
        <w:ind w:firstLine="567"/>
        <w:jc w:val="both"/>
        <w:rPr>
          <w:sz w:val="28"/>
          <w:szCs w:val="28"/>
        </w:rPr>
      </w:pPr>
      <w:r w:rsidRPr="005A776D">
        <w:rPr>
          <w:sz w:val="28"/>
          <w:szCs w:val="28"/>
        </w:rPr>
        <w:t>О</w:t>
      </w:r>
      <w:r w:rsidR="00851510" w:rsidRPr="005A776D">
        <w:rPr>
          <w:sz w:val="28"/>
          <w:szCs w:val="28"/>
        </w:rPr>
        <w:t xml:space="preserve">скільки Україна є учасником низки міжнародних актів у сфері боротьби з відмиванням коштів та протидії легалізації доходів, отриманих злочинним шляхом, то заходи контролю за первинними суб`єктами фінансового моніторингу мають бути особливо суворими. </w:t>
      </w:r>
    </w:p>
    <w:p w14:paraId="758E7320" w14:textId="6D3FA3E9" w:rsidR="00851510" w:rsidRPr="005A776D" w:rsidRDefault="00851510" w:rsidP="00851510">
      <w:pPr>
        <w:pStyle w:val="a3"/>
        <w:spacing w:before="0" w:beforeAutospacing="0" w:after="0" w:afterAutospacing="0" w:line="360" w:lineRule="auto"/>
        <w:ind w:firstLine="567"/>
        <w:jc w:val="both"/>
        <w:rPr>
          <w:sz w:val="28"/>
          <w:szCs w:val="28"/>
        </w:rPr>
      </w:pPr>
      <w:r w:rsidRPr="005A776D">
        <w:rPr>
          <w:sz w:val="28"/>
          <w:szCs w:val="28"/>
        </w:rPr>
        <w:t>З метою виконання міжнародних зобов`язань та вимог законодавства у сфері фінансового моніторингу на Н</w:t>
      </w:r>
      <w:r w:rsidR="005A776D">
        <w:rPr>
          <w:sz w:val="28"/>
          <w:szCs w:val="28"/>
        </w:rPr>
        <w:t xml:space="preserve">аціональний банк </w:t>
      </w:r>
      <w:r w:rsidRPr="005A776D">
        <w:rPr>
          <w:sz w:val="28"/>
          <w:szCs w:val="28"/>
        </w:rPr>
        <w:t>У</w:t>
      </w:r>
      <w:r w:rsidR="005A776D">
        <w:rPr>
          <w:sz w:val="28"/>
          <w:szCs w:val="28"/>
        </w:rPr>
        <w:t>країни</w:t>
      </w:r>
      <w:r w:rsidRPr="005A776D">
        <w:rPr>
          <w:sz w:val="28"/>
          <w:szCs w:val="28"/>
        </w:rPr>
        <w:t xml:space="preserve"> покладено повноваження щодо нагляду за діяльністю комерційних банків, зокрема, щодо забезпечення стабільного розвитку і діяльності банків в Україні, створення належного конкурентного середовища на фінансовому ринку, забезпечення захисту законних інтересів вкладників і клієнтів банків, створення сприятливих умов для розвитку економіки України. </w:t>
      </w:r>
    </w:p>
    <w:p w14:paraId="6EA11A1F" w14:textId="24750CD0" w:rsidR="004644CB" w:rsidRPr="005A776D" w:rsidRDefault="005A776D" w:rsidP="00851510">
      <w:pPr>
        <w:pStyle w:val="a3"/>
        <w:spacing w:before="0" w:beforeAutospacing="0" w:after="0" w:afterAutospacing="0" w:line="360" w:lineRule="auto"/>
        <w:ind w:firstLine="567"/>
        <w:jc w:val="both"/>
        <w:rPr>
          <w:sz w:val="28"/>
          <w:szCs w:val="28"/>
        </w:rPr>
      </w:pPr>
      <w:r>
        <w:rPr>
          <w:sz w:val="28"/>
          <w:szCs w:val="28"/>
        </w:rPr>
        <w:t>З</w:t>
      </w:r>
      <w:r w:rsidR="00851510" w:rsidRPr="005A776D">
        <w:rPr>
          <w:sz w:val="28"/>
          <w:szCs w:val="28"/>
        </w:rPr>
        <w:t>абезпечення фінансової стабільності банківського сектору має надзвичайно важливе суспільне значення, в тому числі для забезпечення і гарантування конституційних прав і свобод, оскільки неефективність фінансової системи призводить до зменшення надходжень до Державного бюджету, а також до виникнення значних непередбачуваних витрат на порятунок фінансової системи, що обмежує державу у її можливостях забезпечувати належним чином конституційні права і свободи, зокрема, в сфері позитивних обов`язків держави.</w:t>
      </w:r>
    </w:p>
    <w:sectPr w:rsidR="004644CB" w:rsidRPr="005A77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6A"/>
    <w:rsid w:val="00324957"/>
    <w:rsid w:val="004644CB"/>
    <w:rsid w:val="005A776D"/>
    <w:rsid w:val="005F4D65"/>
    <w:rsid w:val="00733E6A"/>
    <w:rsid w:val="00851510"/>
    <w:rsid w:val="008E31A8"/>
    <w:rsid w:val="00D05108"/>
    <w:rsid w:val="00DC6834"/>
    <w:rsid w:val="00E07BC7"/>
    <w:rsid w:val="00F50C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3722"/>
  <w15:chartTrackingRefBased/>
  <w15:docId w15:val="{F8B67042-C7B7-4C0F-98CE-0F384F50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15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51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8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online.com.ua/documents/show/512145___709721" TargetMode="External"/><Relationship Id="rId13" Type="http://schemas.openxmlformats.org/officeDocument/2006/relationships/hyperlink" Target="https://zakononline.com.ua/documents/show/170036___592621" TargetMode="External"/><Relationship Id="rId18" Type="http://schemas.openxmlformats.org/officeDocument/2006/relationships/hyperlink" Target="https://zakononline.com.ua/documents/show/506433___692301" TargetMode="External"/><Relationship Id="rId3" Type="http://schemas.openxmlformats.org/officeDocument/2006/relationships/webSettings" Target="webSettings.xml"/><Relationship Id="rId21" Type="http://schemas.openxmlformats.org/officeDocument/2006/relationships/hyperlink" Target="https://zakononline.com.ua/documents/show/253776___710348" TargetMode="External"/><Relationship Id="rId7" Type="http://schemas.openxmlformats.org/officeDocument/2006/relationships/hyperlink" Target="https://zakononline.com.ua/documents/show/321975___651954" TargetMode="External"/><Relationship Id="rId12" Type="http://schemas.openxmlformats.org/officeDocument/2006/relationships/hyperlink" Target="https://zakononline.com.ua/documents/show/205263___710702" TargetMode="External"/><Relationship Id="rId17" Type="http://schemas.openxmlformats.org/officeDocument/2006/relationships/hyperlink" Target="https://zakononline.com.ua/documents/show/506433___692301" TargetMode="External"/><Relationship Id="rId2" Type="http://schemas.openxmlformats.org/officeDocument/2006/relationships/settings" Target="settings.xml"/><Relationship Id="rId16" Type="http://schemas.openxmlformats.org/officeDocument/2006/relationships/hyperlink" Target="https://zakononline.com.ua/documents/show/253776___710348" TargetMode="External"/><Relationship Id="rId20" Type="http://schemas.openxmlformats.org/officeDocument/2006/relationships/hyperlink" Target="https://zakononline.com.ua/documents/show/461097___461162" TargetMode="External"/><Relationship Id="rId1" Type="http://schemas.openxmlformats.org/officeDocument/2006/relationships/styles" Target="styles.xml"/><Relationship Id="rId6" Type="http://schemas.openxmlformats.org/officeDocument/2006/relationships/hyperlink" Target="https://zakononline.com.ua/documents/show/240714___240779" TargetMode="External"/><Relationship Id="rId11" Type="http://schemas.openxmlformats.org/officeDocument/2006/relationships/hyperlink" Target="https://zakononline.com.ua/documents/show/482409___706935" TargetMode="External"/><Relationship Id="rId5" Type="http://schemas.openxmlformats.org/officeDocument/2006/relationships/hyperlink" Target="https://zakononline.com.ua/documents/show/198383___198448" TargetMode="External"/><Relationship Id="rId15" Type="http://schemas.openxmlformats.org/officeDocument/2006/relationships/hyperlink" Target="https://zakononline.com.ua/documents/show/170036___592621" TargetMode="External"/><Relationship Id="rId23" Type="http://schemas.openxmlformats.org/officeDocument/2006/relationships/theme" Target="theme/theme1.xml"/><Relationship Id="rId10" Type="http://schemas.openxmlformats.org/officeDocument/2006/relationships/hyperlink" Target="https://zakononline.com.ua/documents/show/376743___661373" TargetMode="External"/><Relationship Id="rId19" Type="http://schemas.openxmlformats.org/officeDocument/2006/relationships/hyperlink" Target="https://zakononline.com.ua/documents/show/253776___710348" TargetMode="External"/><Relationship Id="rId4" Type="http://schemas.openxmlformats.org/officeDocument/2006/relationships/hyperlink" Target="https://zakononline.com.ua/documents/show/355707___355772" TargetMode="External"/><Relationship Id="rId9" Type="http://schemas.openxmlformats.org/officeDocument/2006/relationships/hyperlink" Target="https://zakononline.com.ua/documents/show/482409___706935" TargetMode="External"/><Relationship Id="rId14" Type="http://schemas.openxmlformats.org/officeDocument/2006/relationships/hyperlink" Target="https://zakononline.com.ua/documents/show/170036___5926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11322</Words>
  <Characters>6455</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BernazyukYO</cp:lastModifiedBy>
  <cp:revision>3</cp:revision>
  <cp:lastPrinted>2023-03-13T16:42:00Z</cp:lastPrinted>
  <dcterms:created xsi:type="dcterms:W3CDTF">2023-03-13T16:32:00Z</dcterms:created>
  <dcterms:modified xsi:type="dcterms:W3CDTF">2023-03-13T16:54:00Z</dcterms:modified>
</cp:coreProperties>
</file>