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C771" w14:textId="20B0C267" w:rsidR="00ED7545" w:rsidRPr="0037683E" w:rsidRDefault="00ED7545" w:rsidP="00ED7545">
      <w:pPr>
        <w:pStyle w:val="a3"/>
        <w:spacing w:before="0" w:beforeAutospacing="0" w:after="0" w:afterAutospacing="0"/>
        <w:ind w:firstLine="6096"/>
        <w:jc w:val="both"/>
        <w:rPr>
          <w:sz w:val="28"/>
          <w:szCs w:val="28"/>
          <w:lang w:val="en-US"/>
        </w:rPr>
      </w:pPr>
      <w:r w:rsidRPr="00ED7545">
        <w:rPr>
          <w:sz w:val="28"/>
          <w:szCs w:val="28"/>
        </w:rPr>
        <w:t>Берназюк Ян</w:t>
      </w:r>
    </w:p>
    <w:p w14:paraId="32D91637" w14:textId="38A5DB89" w:rsidR="00ED7545" w:rsidRDefault="00ED7545" w:rsidP="00ED7545">
      <w:pPr>
        <w:pStyle w:val="a3"/>
        <w:spacing w:before="0" w:beforeAutospacing="0" w:after="0" w:afterAutospacing="0"/>
        <w:ind w:firstLine="6096"/>
        <w:jc w:val="both"/>
        <w:rPr>
          <w:sz w:val="28"/>
          <w:szCs w:val="28"/>
        </w:rPr>
      </w:pPr>
      <w:r w:rsidRPr="00ED7545">
        <w:rPr>
          <w:sz w:val="28"/>
          <w:szCs w:val="28"/>
        </w:rPr>
        <w:t>д.ю.н., професор</w:t>
      </w:r>
      <w:r w:rsidR="00294718">
        <w:rPr>
          <w:sz w:val="28"/>
          <w:szCs w:val="28"/>
        </w:rPr>
        <w:t>,</w:t>
      </w:r>
    </w:p>
    <w:p w14:paraId="3C72C3C4" w14:textId="4D4E9CE3" w:rsidR="00294718" w:rsidRDefault="00294718" w:rsidP="00ED7545">
      <w:pPr>
        <w:pStyle w:val="a3"/>
        <w:spacing w:before="0" w:beforeAutospacing="0" w:after="0" w:afterAutospacing="0"/>
        <w:ind w:firstLine="6096"/>
        <w:jc w:val="both"/>
        <w:rPr>
          <w:sz w:val="28"/>
          <w:szCs w:val="28"/>
        </w:rPr>
      </w:pPr>
      <w:r>
        <w:rPr>
          <w:sz w:val="28"/>
          <w:szCs w:val="28"/>
        </w:rPr>
        <w:t>заслужений юрист України</w:t>
      </w:r>
    </w:p>
    <w:p w14:paraId="696BB940" w14:textId="77777777" w:rsidR="00294718" w:rsidRDefault="00294718" w:rsidP="00ED7545">
      <w:pPr>
        <w:pStyle w:val="a3"/>
        <w:spacing w:before="0" w:beforeAutospacing="0" w:after="0" w:afterAutospacing="0"/>
        <w:ind w:firstLine="6096"/>
        <w:jc w:val="both"/>
        <w:rPr>
          <w:sz w:val="28"/>
          <w:szCs w:val="28"/>
        </w:rPr>
      </w:pPr>
    </w:p>
    <w:p w14:paraId="1036E12A" w14:textId="592638AF" w:rsidR="00294718" w:rsidRPr="00294718" w:rsidRDefault="00294718" w:rsidP="00ED7545">
      <w:pPr>
        <w:pStyle w:val="a3"/>
        <w:spacing w:before="0" w:beforeAutospacing="0" w:after="0" w:afterAutospacing="0"/>
        <w:ind w:firstLine="6096"/>
        <w:jc w:val="both"/>
        <w:rPr>
          <w:sz w:val="28"/>
          <w:szCs w:val="28"/>
          <w:lang w:val="en-US"/>
        </w:rPr>
      </w:pPr>
      <w:r w:rsidRPr="00294718">
        <w:rPr>
          <w:sz w:val="28"/>
          <w:szCs w:val="28"/>
          <w:lang w:val="en-US"/>
        </w:rPr>
        <w:t>Bernaziuk Ian</w:t>
      </w:r>
    </w:p>
    <w:p w14:paraId="3D9B8C63" w14:textId="77777777" w:rsidR="00294718" w:rsidRPr="00294718" w:rsidRDefault="00294718" w:rsidP="00294718">
      <w:pPr>
        <w:pStyle w:val="a3"/>
        <w:spacing w:before="0" w:beforeAutospacing="0" w:after="0" w:afterAutospacing="0"/>
        <w:ind w:left="6096"/>
        <w:jc w:val="both"/>
        <w:rPr>
          <w:sz w:val="28"/>
          <w:szCs w:val="28"/>
          <w:lang w:val="en-US"/>
        </w:rPr>
      </w:pPr>
      <w:r w:rsidRPr="00294718">
        <w:rPr>
          <w:sz w:val="28"/>
          <w:szCs w:val="28"/>
          <w:lang w:val="en-US"/>
        </w:rPr>
        <w:t>Doctor of Law, Professor,</w:t>
      </w:r>
    </w:p>
    <w:p w14:paraId="2025B87B" w14:textId="136584D7" w:rsidR="00294718" w:rsidRPr="00294718" w:rsidRDefault="00294718" w:rsidP="00294718">
      <w:pPr>
        <w:pStyle w:val="a3"/>
        <w:spacing w:before="0" w:beforeAutospacing="0" w:after="0" w:afterAutospacing="0"/>
        <w:ind w:left="6096"/>
        <w:jc w:val="both"/>
        <w:rPr>
          <w:sz w:val="28"/>
          <w:szCs w:val="28"/>
          <w:lang w:val="en-US"/>
        </w:rPr>
      </w:pPr>
      <w:r w:rsidRPr="00294718">
        <w:rPr>
          <w:sz w:val="28"/>
          <w:szCs w:val="28"/>
          <w:lang w:val="en-US"/>
        </w:rPr>
        <w:t>Honored Lawyer of Ukraine</w:t>
      </w:r>
    </w:p>
    <w:p w14:paraId="7688AF4B" w14:textId="77777777" w:rsidR="00ED7545" w:rsidRDefault="00ED7545" w:rsidP="00ED7545">
      <w:pPr>
        <w:pStyle w:val="a3"/>
        <w:spacing w:before="0" w:beforeAutospacing="0" w:after="0" w:afterAutospacing="0"/>
        <w:jc w:val="both"/>
        <w:rPr>
          <w:b/>
          <w:bCs/>
          <w:sz w:val="28"/>
          <w:szCs w:val="28"/>
        </w:rPr>
      </w:pPr>
    </w:p>
    <w:p w14:paraId="7DA446C0" w14:textId="77777777" w:rsidR="00ED7545" w:rsidRDefault="00ED7545" w:rsidP="00ED7545">
      <w:pPr>
        <w:pStyle w:val="a3"/>
        <w:spacing w:before="0" w:beforeAutospacing="0" w:after="0" w:afterAutospacing="0"/>
        <w:jc w:val="center"/>
        <w:rPr>
          <w:b/>
          <w:bCs/>
          <w:sz w:val="28"/>
          <w:szCs w:val="28"/>
        </w:rPr>
      </w:pPr>
    </w:p>
    <w:p w14:paraId="4D35FF7E" w14:textId="62302E9B" w:rsidR="00ED7545" w:rsidRPr="00ED7545" w:rsidRDefault="00ED7545" w:rsidP="00294718">
      <w:pPr>
        <w:pStyle w:val="a3"/>
        <w:spacing w:before="0" w:beforeAutospacing="0" w:after="0" w:afterAutospacing="0"/>
        <w:jc w:val="center"/>
        <w:rPr>
          <w:b/>
          <w:bCs/>
          <w:sz w:val="28"/>
          <w:szCs w:val="28"/>
        </w:rPr>
      </w:pPr>
      <w:r>
        <w:rPr>
          <w:b/>
          <w:bCs/>
          <w:sz w:val="28"/>
          <w:szCs w:val="28"/>
        </w:rPr>
        <w:t xml:space="preserve">НАЦІОНАЛЬНІ ТА МІЖНАРОДНІ СТАНДАРТИ ЗАХИСТУ ПРАВ </w:t>
      </w:r>
      <w:r w:rsidRPr="00ED7545">
        <w:rPr>
          <w:b/>
          <w:bCs/>
          <w:sz w:val="28"/>
          <w:szCs w:val="28"/>
        </w:rPr>
        <w:t>ДІТЕЙ-СИРІТ І ДІТЕЙ, ПОЗБАВЛЕНИХ БАТЬКІВСЬКОГО ПІКЛУВАННЯ</w:t>
      </w:r>
    </w:p>
    <w:p w14:paraId="6A70067D" w14:textId="77777777" w:rsidR="00294718" w:rsidRDefault="00294718" w:rsidP="00294718">
      <w:pPr>
        <w:spacing w:after="0" w:line="240" w:lineRule="auto"/>
        <w:jc w:val="center"/>
        <w:rPr>
          <w:rFonts w:ascii="Times New Roman" w:hAnsi="Times New Roman" w:cs="Times New Roman"/>
          <w:b/>
          <w:bCs/>
          <w:sz w:val="28"/>
          <w:szCs w:val="28"/>
        </w:rPr>
      </w:pPr>
    </w:p>
    <w:p w14:paraId="69F4D23D" w14:textId="323305BE" w:rsidR="00ED7545" w:rsidRDefault="00294718" w:rsidP="00294718">
      <w:pPr>
        <w:spacing w:after="0" w:line="240" w:lineRule="auto"/>
        <w:jc w:val="center"/>
        <w:rPr>
          <w:rFonts w:ascii="Times New Roman" w:hAnsi="Times New Roman" w:cs="Times New Roman"/>
          <w:b/>
          <w:bCs/>
          <w:sz w:val="28"/>
          <w:szCs w:val="28"/>
        </w:rPr>
      </w:pPr>
      <w:r w:rsidRPr="00294718">
        <w:rPr>
          <w:rFonts w:ascii="Times New Roman" w:hAnsi="Times New Roman" w:cs="Times New Roman"/>
          <w:b/>
          <w:bCs/>
          <w:sz w:val="28"/>
          <w:szCs w:val="28"/>
        </w:rPr>
        <w:t>NATIONAL AND INTERNATIONAL STANDARDS FOR THE PROTECTION OF THE RIGHTS OF ORPHANS AND CHILDREN DEPRIVED OF PARENTAL CARE</w:t>
      </w:r>
    </w:p>
    <w:p w14:paraId="67F111D7" w14:textId="77777777" w:rsidR="00ED7545" w:rsidRDefault="00ED7545" w:rsidP="00ED7545">
      <w:pPr>
        <w:spacing w:after="0" w:line="240" w:lineRule="auto"/>
        <w:jc w:val="both"/>
        <w:rPr>
          <w:rFonts w:ascii="Times New Roman" w:hAnsi="Times New Roman" w:cs="Times New Roman"/>
          <w:b/>
          <w:bCs/>
          <w:sz w:val="28"/>
          <w:szCs w:val="28"/>
        </w:rPr>
      </w:pPr>
    </w:p>
    <w:p w14:paraId="144EC35B" w14:textId="7CA8FCDC"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У статті 1 Конституції України закріплено, що Україна є соціальн</w:t>
      </w:r>
      <w:r w:rsidR="00A75CB8">
        <w:rPr>
          <w:rFonts w:ascii="Times New Roman" w:hAnsi="Times New Roman" w:cs="Times New Roman"/>
          <w:sz w:val="28"/>
          <w:szCs w:val="28"/>
        </w:rPr>
        <w:t>ою та</w:t>
      </w:r>
      <w:r w:rsidRPr="00ED7545">
        <w:rPr>
          <w:rFonts w:ascii="Times New Roman" w:hAnsi="Times New Roman" w:cs="Times New Roman"/>
          <w:sz w:val="28"/>
          <w:szCs w:val="28"/>
        </w:rPr>
        <w:t xml:space="preserve"> правов</w:t>
      </w:r>
      <w:r w:rsidR="00A75CB8">
        <w:rPr>
          <w:rFonts w:ascii="Times New Roman" w:hAnsi="Times New Roman" w:cs="Times New Roman"/>
          <w:sz w:val="28"/>
          <w:szCs w:val="28"/>
        </w:rPr>
        <w:t>ою</w:t>
      </w:r>
      <w:r w:rsidRPr="00ED7545">
        <w:rPr>
          <w:rFonts w:ascii="Times New Roman" w:hAnsi="Times New Roman" w:cs="Times New Roman"/>
          <w:sz w:val="28"/>
          <w:szCs w:val="28"/>
        </w:rPr>
        <w:t xml:space="preserve"> держав</w:t>
      </w:r>
      <w:r w:rsidR="00A75CB8">
        <w:rPr>
          <w:rFonts w:ascii="Times New Roman" w:hAnsi="Times New Roman" w:cs="Times New Roman"/>
          <w:sz w:val="28"/>
          <w:szCs w:val="28"/>
        </w:rPr>
        <w:t>ою</w:t>
      </w:r>
      <w:r w:rsidRPr="00ED7545">
        <w:rPr>
          <w:rFonts w:ascii="Times New Roman" w:hAnsi="Times New Roman" w:cs="Times New Roman"/>
          <w:sz w:val="28"/>
          <w:szCs w:val="28"/>
        </w:rPr>
        <w:t>.</w:t>
      </w:r>
    </w:p>
    <w:p w14:paraId="2CA94669" w14:textId="6CDC968C"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Конституційний Суд України у пункті 2.1 Рішення від 25 січня 2012 року № 3-рп/2012 в офіційному тлумаченні зазначених положень Конституції України зазначив, що Україна як соціальна держава визнає людину найвищою соціальною цінністю, розподіляє суспільне багатство згідно з принципом соціальної справедливості та піклується про зміцнення громадянської злагоди у суспільстві.</w:t>
      </w:r>
    </w:p>
    <w:p w14:paraId="76CFC623" w14:textId="064FF1B7"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Основними завданнями соціальної держави є створення умов для реалізації соціальних, культурних та економічних прав людини, сприяння самостійності і відповідальності кожної особи за свої дії, надання соціальної допомоги тим громадянам, які з незалежних від них обставин не можуть забезпечити достатній рівень життя для себе і своєї сім`ї.</w:t>
      </w:r>
      <w:r>
        <w:rPr>
          <w:rFonts w:ascii="Times New Roman" w:hAnsi="Times New Roman" w:cs="Times New Roman"/>
          <w:sz w:val="28"/>
          <w:szCs w:val="28"/>
        </w:rPr>
        <w:t xml:space="preserve"> С</w:t>
      </w:r>
      <w:r w:rsidRPr="00ED7545">
        <w:rPr>
          <w:rFonts w:ascii="Times New Roman" w:hAnsi="Times New Roman" w:cs="Times New Roman"/>
          <w:sz w:val="28"/>
          <w:szCs w:val="28"/>
        </w:rPr>
        <w:t>оціальний захист державою осіб, які мають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охоплює комплекс заходів, які здійснює держава в межах її соціально-економічних можливостей.</w:t>
      </w:r>
    </w:p>
    <w:p w14:paraId="1BF12AAC" w14:textId="1ED4D5BC"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 xml:space="preserve">Відповідно до Основного Закону України «громадяни мають право на соціальний захист» (стаття 46), «сім`я, дитинство, материнство і батьківство охороняються державою» (частина третя статті 51), «діти рівні у своїх правах </w:t>
      </w:r>
      <w:r w:rsidRPr="00ED7545">
        <w:rPr>
          <w:rFonts w:ascii="Times New Roman" w:hAnsi="Times New Roman" w:cs="Times New Roman"/>
          <w:sz w:val="28"/>
          <w:szCs w:val="28"/>
        </w:rPr>
        <w:lastRenderedPageBreak/>
        <w:t>незалежно від походження, а також від того, народжені вони у шлюбі чи поза ним</w:t>
      </w:r>
      <w:r w:rsidR="00E03EC6">
        <w:rPr>
          <w:rFonts w:ascii="Times New Roman" w:hAnsi="Times New Roman" w:cs="Times New Roman"/>
          <w:sz w:val="28"/>
          <w:szCs w:val="28"/>
        </w:rPr>
        <w:t>; у</w:t>
      </w:r>
      <w:r w:rsidRPr="00ED7545">
        <w:rPr>
          <w:rFonts w:ascii="Times New Roman" w:hAnsi="Times New Roman" w:cs="Times New Roman"/>
          <w:sz w:val="28"/>
          <w:szCs w:val="28"/>
        </w:rPr>
        <w:t>тримання та виховання дітей-сиріт і дітей, позбавлених батьківського піклування, покладається на державу» (стаття 52).</w:t>
      </w:r>
    </w:p>
    <w:p w14:paraId="0DFEC900" w14:textId="1C4909C6"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Крім того, Україна ратифікувала Конвенцію про права дитини</w:t>
      </w:r>
      <w:r w:rsidR="00A75CB8">
        <w:rPr>
          <w:rFonts w:ascii="Times New Roman" w:hAnsi="Times New Roman" w:cs="Times New Roman"/>
          <w:sz w:val="28"/>
          <w:szCs w:val="28"/>
          <w:lang w:val="en-US"/>
        </w:rPr>
        <w:t xml:space="preserve"> (</w:t>
      </w:r>
      <w:r w:rsidR="00A75CB8" w:rsidRPr="00A75CB8">
        <w:rPr>
          <w:rFonts w:ascii="Times New Roman" w:hAnsi="Times New Roman" w:cs="Times New Roman"/>
          <w:sz w:val="28"/>
          <w:szCs w:val="28"/>
          <w:lang w:val="en-US"/>
        </w:rPr>
        <w:t>United Nations Convention on the Rights of the Child</w:t>
      </w:r>
      <w:r w:rsidR="00A75CB8">
        <w:rPr>
          <w:rFonts w:ascii="Times New Roman" w:hAnsi="Times New Roman" w:cs="Times New Roman"/>
          <w:sz w:val="28"/>
          <w:szCs w:val="28"/>
          <w:lang w:val="en-US"/>
        </w:rPr>
        <w:t>)</w:t>
      </w:r>
      <w:r w:rsidRPr="00ED7545">
        <w:rPr>
          <w:rFonts w:ascii="Times New Roman" w:hAnsi="Times New Roman" w:cs="Times New Roman"/>
          <w:sz w:val="28"/>
          <w:szCs w:val="28"/>
        </w:rPr>
        <w:t>, прийняту 44-ю сесією Генеральної Асамблеї ООН 20 листопада 1989 року (постанова Верховної Ради України від 27 лютого 1991 року № 789-XII), у Преамбулі якої (у редакції зі змінами, схваленими резолюцією 50/155 Генеральної Асамблеї ООН від 21 грудня 1995 року) зазначено, що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 Статтею 3 Конвенції визначено,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14:paraId="0271C78A" w14:textId="518DBD90"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У частині другій статті 24 Хартії основних прав Європейського Союзу (</w:t>
      </w:r>
      <w:r w:rsidR="00E03EC6" w:rsidRPr="00E03EC6">
        <w:rPr>
          <w:rFonts w:ascii="Times New Roman" w:hAnsi="Times New Roman" w:cs="Times New Roman"/>
          <w:sz w:val="28"/>
          <w:szCs w:val="28"/>
        </w:rPr>
        <w:t>The Charter of Fundamental Rights of the European Union</w:t>
      </w:r>
      <w:r w:rsidRPr="00ED7545">
        <w:rPr>
          <w:rFonts w:ascii="Times New Roman" w:hAnsi="Times New Roman" w:cs="Times New Roman"/>
          <w:sz w:val="28"/>
          <w:szCs w:val="28"/>
        </w:rPr>
        <w:t xml:space="preserve">) від 7 грудня 2000 року зазначено, що при здійсненні будь-яких дій </w:t>
      </w:r>
      <w:r w:rsidR="00A75CB8">
        <w:rPr>
          <w:rFonts w:ascii="Times New Roman" w:hAnsi="Times New Roman" w:cs="Times New Roman"/>
          <w:sz w:val="28"/>
          <w:szCs w:val="28"/>
        </w:rPr>
        <w:t>стосовно</w:t>
      </w:r>
      <w:r w:rsidRPr="00ED7545">
        <w:rPr>
          <w:rFonts w:ascii="Times New Roman" w:hAnsi="Times New Roman" w:cs="Times New Roman"/>
          <w:sz w:val="28"/>
          <w:szCs w:val="28"/>
        </w:rPr>
        <w:t xml:space="preserve"> дітей, як з боку органів державної влади, так і з боку приватних установ, вищі інтереси дитини повинні розглядатися як пріоритетні.</w:t>
      </w:r>
    </w:p>
    <w:p w14:paraId="6200B7FF" w14:textId="5F649021"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Комітет міністрів Ради Європи 17 листопада 2010 року у Керівних принципах Комітету міністрів Ради Європи щодо правосуддя, дружнього до дітей</w:t>
      </w:r>
      <w:r w:rsidR="00E03EC6">
        <w:rPr>
          <w:rFonts w:ascii="Times New Roman" w:hAnsi="Times New Roman" w:cs="Times New Roman"/>
          <w:sz w:val="28"/>
          <w:szCs w:val="28"/>
          <w:lang w:val="en-US"/>
        </w:rPr>
        <w:t xml:space="preserve"> (</w:t>
      </w:r>
      <w:r w:rsidR="00E03EC6" w:rsidRPr="00E03EC6">
        <w:rPr>
          <w:rFonts w:ascii="Times New Roman" w:hAnsi="Times New Roman" w:cs="Times New Roman"/>
          <w:sz w:val="28"/>
          <w:szCs w:val="28"/>
          <w:lang w:val="en-US"/>
        </w:rPr>
        <w:t>Guidelines of the Committee</w:t>
      </w:r>
      <w:r w:rsidR="00E03EC6">
        <w:rPr>
          <w:rFonts w:ascii="Times New Roman" w:hAnsi="Times New Roman" w:cs="Times New Roman"/>
          <w:sz w:val="28"/>
          <w:szCs w:val="28"/>
          <w:lang w:val="en-US"/>
        </w:rPr>
        <w:t xml:space="preserve"> </w:t>
      </w:r>
      <w:r w:rsidR="00E03EC6" w:rsidRPr="00E03EC6">
        <w:rPr>
          <w:rFonts w:ascii="Times New Roman" w:hAnsi="Times New Roman" w:cs="Times New Roman"/>
          <w:sz w:val="28"/>
          <w:szCs w:val="28"/>
          <w:lang w:val="en-US"/>
        </w:rPr>
        <w:t>of Ministers of the Council of Europe</w:t>
      </w:r>
      <w:r w:rsidR="00E03EC6">
        <w:rPr>
          <w:rFonts w:ascii="Times New Roman" w:hAnsi="Times New Roman" w:cs="Times New Roman"/>
          <w:sz w:val="28"/>
          <w:szCs w:val="28"/>
          <w:lang w:val="en-US"/>
        </w:rPr>
        <w:t xml:space="preserve"> </w:t>
      </w:r>
      <w:r w:rsidR="00E03EC6" w:rsidRPr="00E03EC6">
        <w:rPr>
          <w:rFonts w:ascii="Times New Roman" w:hAnsi="Times New Roman" w:cs="Times New Roman"/>
          <w:sz w:val="28"/>
          <w:szCs w:val="28"/>
          <w:lang w:val="en-US"/>
        </w:rPr>
        <w:t>on child-friendly justice</w:t>
      </w:r>
      <w:r w:rsidR="00E03EC6">
        <w:rPr>
          <w:rFonts w:ascii="Times New Roman" w:hAnsi="Times New Roman" w:cs="Times New Roman"/>
          <w:sz w:val="28"/>
          <w:szCs w:val="28"/>
          <w:lang w:val="en-US"/>
        </w:rPr>
        <w:t>)</w:t>
      </w:r>
      <w:r w:rsidRPr="00ED7545">
        <w:rPr>
          <w:rFonts w:ascii="Times New Roman" w:hAnsi="Times New Roman" w:cs="Times New Roman"/>
          <w:sz w:val="28"/>
          <w:szCs w:val="28"/>
        </w:rPr>
        <w:t>, наголосив на тому, що держави-члени повинні гарантувати ефективне здійснення прав дітей, щоб їх найкращі інтереси мали першочергову увагу у всьому, що стосується або зачіпає їх інтереси.</w:t>
      </w:r>
    </w:p>
    <w:p w14:paraId="509F9AB0" w14:textId="77777777"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Найкращі інтереси всіх дітей, які беруть участь в тій же процедурі або справі, мають бути окремо оцінені та збалансовані з метою узгодження можливого конфлікту інтересів дітей. У той час як судові органи мають кінцеву компетентність і відповідальність за прийняття остаточного рішення, держави-</w:t>
      </w:r>
      <w:r w:rsidRPr="00ED7545">
        <w:rPr>
          <w:rFonts w:ascii="Times New Roman" w:hAnsi="Times New Roman" w:cs="Times New Roman"/>
          <w:sz w:val="28"/>
          <w:szCs w:val="28"/>
        </w:rPr>
        <w:lastRenderedPageBreak/>
        <w:t>члени повинні, при необхідності, направити спільні зусилля на створення міждисциплінарних підходів з метою оцінки найкращих інтересів дітей під час процедури, пов`язаної з ними.</w:t>
      </w:r>
    </w:p>
    <w:p w14:paraId="15FE35BF" w14:textId="77777777"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Також зазначається, що всі фахівці, які працюють з дітьми і для дітей, повинні отримувати необхідну міждисциплінарну підготовку з питань прав і потреб дітей різних вікових груп, а також щодо процедур, які адаптовані до них.</w:t>
      </w:r>
    </w:p>
    <w:p w14:paraId="546091C3" w14:textId="534F0778"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Отже, національне законодавство та міжнародні договори включають у поняття «соціальне забезпечення» право на державну підтримку сім`ї, материнства й дитинства, утримання і виховання за державні кошти дітей-сиріт і дітей, позбавлених батьківського піклування</w:t>
      </w:r>
      <w:r w:rsidR="00E03EC6">
        <w:rPr>
          <w:rFonts w:ascii="Times New Roman" w:hAnsi="Times New Roman" w:cs="Times New Roman"/>
          <w:sz w:val="28"/>
          <w:szCs w:val="28"/>
        </w:rPr>
        <w:t xml:space="preserve"> (</w:t>
      </w:r>
      <w:r w:rsidR="00E03EC6">
        <w:rPr>
          <w:rFonts w:ascii="Times New Roman" w:hAnsi="Times New Roman" w:cs="Times New Roman"/>
          <w:sz w:val="28"/>
          <w:szCs w:val="28"/>
          <w:lang w:val="en-US"/>
        </w:rPr>
        <w:t>o</w:t>
      </w:r>
      <w:r w:rsidR="00E03EC6" w:rsidRPr="00E03EC6">
        <w:rPr>
          <w:rFonts w:ascii="Times New Roman" w:hAnsi="Times New Roman" w:cs="Times New Roman"/>
          <w:sz w:val="28"/>
          <w:szCs w:val="28"/>
        </w:rPr>
        <w:t>rphans and vulnerable children</w:t>
      </w:r>
      <w:r w:rsidR="00E03EC6">
        <w:rPr>
          <w:rFonts w:ascii="Times New Roman" w:hAnsi="Times New Roman" w:cs="Times New Roman"/>
          <w:sz w:val="28"/>
          <w:szCs w:val="28"/>
        </w:rPr>
        <w:t>)</w:t>
      </w:r>
      <w:r w:rsidRPr="00ED7545">
        <w:rPr>
          <w:rFonts w:ascii="Times New Roman" w:hAnsi="Times New Roman" w:cs="Times New Roman"/>
          <w:sz w:val="28"/>
          <w:szCs w:val="28"/>
        </w:rPr>
        <w:t>.</w:t>
      </w:r>
    </w:p>
    <w:p w14:paraId="17C4DA95" w14:textId="0377B8B5"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У пункті 6 частини першої статті 92 Конституції України передбачено, що виключно законами України визначаються, зокрема основи соціального захисту, форми і види пенсійного забезпечення; засади регулювання праці і зайнятості, шлюбу, сім`ї, охорони дитинства.</w:t>
      </w:r>
    </w:p>
    <w:p w14:paraId="76023974" w14:textId="22F59700"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За визначенням, що міститься у статті 1 Закону України від 26 квітня 2001 року № 2402-III «Про охорону дитинства» (далі - Закон № 2402-III), 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14:paraId="4E63013D" w14:textId="42AEAB06"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З огляду на статті 5, 8 зазначеного Закону, органи державної влади та місцевого самоврядування в межах визначених законом повноважень створюють умови для комфортного та безпечного життя дитини, отримання освіти, соціального захисту, всебічного розвитку тощо, у тому числі шляхом створення у своїй структурі відповідних органів, які безпосередньо здійснюють вказані повноваження.</w:t>
      </w:r>
    </w:p>
    <w:p w14:paraId="473362CB" w14:textId="77777777"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При цьому особливий захист гарантується дітям-сиротам та дітям, позбавленим батьківського піклування.</w:t>
      </w:r>
    </w:p>
    <w:p w14:paraId="1961D33A" w14:textId="41E3DEB8"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Такий висновок неодноразово висловлювався, зокрема у постановах Верховного Суду від 18 жовтня 2018 року у справі № 822/3692/17, від 15 жовтня 2019 року у справі № 810/3894/17, від 5 листопада 2019 року у справі № 804/4585/18, від 11 серпня 2020 року у справі № 810/2903/18, від 28 січня 2021 року у справі № 380/3398/20 та від 20 липня 2021 року у справі № 480/3093/20.</w:t>
      </w:r>
    </w:p>
    <w:p w14:paraId="58F10480" w14:textId="5DE41501"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lastRenderedPageBreak/>
        <w:t>Одним із основних принципів державної політики в частині соціального захисту дітей-сиріт та дітей, позбавлених батьківського піклування, згідно зі статтею 3 Закону № 2342-IV, є захист прав і інтересів таких дітей, а також забезпечення соціально-правових гарантій.</w:t>
      </w:r>
    </w:p>
    <w:p w14:paraId="314697B0" w14:textId="1206B13D"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 (стаття 1 Закону № 2342-IV).</w:t>
      </w:r>
    </w:p>
    <w:p w14:paraId="7C361812" w14:textId="25CA3DE3"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Відповідно до статті 4 зазначеного Закону 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 та встановлюються на рівні, не меншому за встановлений прожитковий мінімум для осіб відповідного віку.</w:t>
      </w:r>
    </w:p>
    <w:p w14:paraId="42466246" w14:textId="5AB5074D"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Згідно з частинами першою-третьою та дев`ятою статті 8 Закону № 2342-IV держава здійснює повне забезпечення дітей-сиріт та дітей, позбавлених батьківського піклування, а також осіб із їх числа. 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 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14:paraId="2134FB76" w14:textId="77777777"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w:t>
      </w:r>
    </w:p>
    <w:p w14:paraId="089FA427" w14:textId="6DE60D01"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 xml:space="preserve">Таким чином, діти-сироти та діти, позбавлені батьківського піклування, незалежно від форми їх утримання та виховання, гарантовано перебувають на </w:t>
      </w:r>
      <w:r w:rsidRPr="00ED7545">
        <w:rPr>
          <w:rFonts w:ascii="Times New Roman" w:hAnsi="Times New Roman" w:cs="Times New Roman"/>
          <w:sz w:val="28"/>
          <w:szCs w:val="28"/>
        </w:rPr>
        <w:lastRenderedPageBreak/>
        <w:t>повному державному утриманні, спрямованому на захист їх прав та інтересів, утвердження рівних можливостей у сфері освіти, охорони здоров`я та інших соціальних сферах.</w:t>
      </w:r>
    </w:p>
    <w:p w14:paraId="6F692E2D" w14:textId="2D8DDF1E"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Реалізація державної політики у сфері захисту прав дітей-сиріт та дітей, позбавлених батьківського піклування, сприяє створенню здорового та освіченого населення, протидії безпритульності, зниженню соціальної нерівності та напруги, що в цілому позитивно впливає на соціально-економічний розвиток держави.</w:t>
      </w:r>
    </w:p>
    <w:p w14:paraId="311D7586" w14:textId="36B55033"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У цьому виражаються інтереси держави в сфері охорони дитинства, яка взяла на себе обов`язок забезпечувати повноцінне життя, всебічне виховання і розвиток дітей-сиріт та дітей, позбавленими батьківського піклування, та захист їх прав, як соціально вразливої категорії населення.</w:t>
      </w:r>
    </w:p>
    <w:p w14:paraId="52327536" w14:textId="64D2873F"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Згідно зі статтею 4 Закону України від 24 січня 1995 року № 20/95-ВР «Про органи і служби у справах дітей та спеціальні установи для дітей» та Порядком провадження органами опіки та піклування діяльності, пов`язаної із захистом прав дитини, затвердженим постановою Кабінету Міністрів України від 24 вересня 2008 року № 866 (далі - Порядок № 866), на служби у справах дітей покладається обов`язок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проведення роботи з соціально-правового захисту дітей.</w:t>
      </w:r>
    </w:p>
    <w:p w14:paraId="74C78928" w14:textId="77777777"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Служби у справах дітей мають право звертатися у разі порушення прав та законних інтересів дітей, а також з питань надання їм допомоги до відповідних органів виконавчої влади, органів місцевого самоврядування, підприємств, установ та організацій незалежно від форми власності; представляти у разі необхідності інтереси дітей в судах.</w:t>
      </w:r>
    </w:p>
    <w:p w14:paraId="25E5BCFE" w14:textId="7B9B6A1A"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 xml:space="preserve">За статтею 8 Закону № 2342-IV 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w:t>
      </w:r>
      <w:r w:rsidRPr="00ED7545">
        <w:rPr>
          <w:rFonts w:ascii="Times New Roman" w:hAnsi="Times New Roman" w:cs="Times New Roman"/>
          <w:sz w:val="28"/>
          <w:szCs w:val="28"/>
        </w:rPr>
        <w:lastRenderedPageBreak/>
        <w:t>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14:paraId="799020AE" w14:textId="14426F12"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Відповідно до підпункту 4 пункту 13 постанови Кабінету Міністрів України від 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учням, студентам з числа дітей-сиріт і дітей, позбавлених батьківського піклування, а також учням, студентам, які в період навчання у віці від 18 до 23 років залишились без батьків, що навчалися або виховувалися в навчально-виховних та закладах фахової передвищої та вищої освіти і перебували на повному державному утриманні, при їх працевлаштуванні видається одяг, взуття, м`який інвентар і обладнання на суму, не менш як 40 неоподатковуваних мінімумів доходів громадян, а також одноразова грошова допомога в розмірі шести прожиткових мінімумів.</w:t>
      </w:r>
    </w:p>
    <w:p w14:paraId="2942AD32" w14:textId="53ABB052"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Таким чином, зазначеними Законом України та Постановою Кабінету Міністрів України врегульовано розмір одноразової грошової допомоги випускникам навчального закладу, незалежно від подальшого працевлаштування або продовження навчання, а тому сам факт випуску з навчального закладу є підставою для виплати одноразової грошової допомоги в розмірі не менше шести прожиткових мінімумів, встановленого законом про Державний бюджет України на відповідний рік.</w:t>
      </w:r>
    </w:p>
    <w:p w14:paraId="7DFB25E9" w14:textId="7C982F20"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Аналогічний висновок щодо застосування норм права у спірних відносинах наведений у постановах Верховного Суду від 3 жовтня 2019 року у справі № 303/5849/16-а, від 26 травня 2020 року у справі № 303/5848/16-а та від 28 січня 2021 року у справі № 164/1907/16-а.</w:t>
      </w:r>
    </w:p>
    <w:p w14:paraId="26EA582D" w14:textId="7554C9B2" w:rsidR="00ED7545" w:rsidRPr="00ED7545" w:rsidRDefault="00ED7545" w:rsidP="0037683E">
      <w:pPr>
        <w:spacing w:after="0" w:line="360" w:lineRule="auto"/>
        <w:ind w:firstLine="284"/>
        <w:jc w:val="both"/>
        <w:rPr>
          <w:rFonts w:ascii="Times New Roman" w:hAnsi="Times New Roman" w:cs="Times New Roman"/>
          <w:sz w:val="28"/>
          <w:szCs w:val="28"/>
        </w:rPr>
      </w:pPr>
      <w:r w:rsidRPr="00ED7545">
        <w:rPr>
          <w:rFonts w:ascii="Times New Roman" w:hAnsi="Times New Roman" w:cs="Times New Roman"/>
          <w:sz w:val="28"/>
          <w:szCs w:val="28"/>
        </w:rPr>
        <w:t>Такі виплати допомоги здійснює навчальний заклад, у якому навчаються діти-сироти чи діти, позбавлені батьківського піклування, а Служба у справах дітей, відповідно, контролює виплати.</w:t>
      </w:r>
    </w:p>
    <w:p w14:paraId="3094C7B2" w14:textId="77777777" w:rsidR="00ED7545" w:rsidRDefault="00ED7545" w:rsidP="0037683E">
      <w:pPr>
        <w:spacing w:after="0" w:line="360" w:lineRule="auto"/>
        <w:jc w:val="both"/>
        <w:rPr>
          <w:rFonts w:ascii="Times New Roman" w:hAnsi="Times New Roman" w:cs="Times New Roman"/>
          <w:sz w:val="28"/>
          <w:szCs w:val="28"/>
        </w:rPr>
      </w:pPr>
    </w:p>
    <w:p w14:paraId="406818C5" w14:textId="77777777" w:rsidR="00294718" w:rsidRPr="00A75CB8" w:rsidRDefault="00294718" w:rsidP="0037683E">
      <w:pPr>
        <w:spacing w:after="0" w:line="360" w:lineRule="auto"/>
        <w:ind w:firstLine="426"/>
        <w:jc w:val="both"/>
        <w:rPr>
          <w:rFonts w:ascii="Times New Roman" w:hAnsi="Times New Roman" w:cs="Times New Roman"/>
          <w:b/>
          <w:bCs/>
          <w:sz w:val="28"/>
          <w:szCs w:val="28"/>
        </w:rPr>
      </w:pPr>
      <w:r w:rsidRPr="00A75CB8">
        <w:rPr>
          <w:rFonts w:ascii="Times New Roman" w:hAnsi="Times New Roman" w:cs="Times New Roman"/>
          <w:b/>
          <w:bCs/>
          <w:sz w:val="28"/>
          <w:szCs w:val="28"/>
        </w:rPr>
        <w:lastRenderedPageBreak/>
        <w:t>Використані джерела:</w:t>
      </w:r>
    </w:p>
    <w:p w14:paraId="2DE7D594"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Берназюк Я</w:t>
      </w:r>
      <w:r>
        <w:rPr>
          <w:rFonts w:ascii="Times New Roman" w:hAnsi="Times New Roman" w:cs="Times New Roman"/>
          <w:sz w:val="28"/>
          <w:szCs w:val="28"/>
        </w:rPr>
        <w:t>н</w:t>
      </w:r>
      <w:r w:rsidRPr="00294718">
        <w:rPr>
          <w:rFonts w:ascii="Times New Roman" w:hAnsi="Times New Roman" w:cs="Times New Roman"/>
          <w:sz w:val="28"/>
          <w:szCs w:val="28"/>
        </w:rPr>
        <w:t xml:space="preserve">. Аналіз судової практики розгляду пенсійних та інших соціальних спорів в аспекті застосування строків звернення до суду </w:t>
      </w:r>
      <w:hyperlink r:id="rId5" w:history="1">
        <w:r w:rsidRPr="00294718">
          <w:rPr>
            <w:rStyle w:val="a4"/>
            <w:rFonts w:ascii="Times New Roman" w:hAnsi="Times New Roman" w:cs="Times New Roman"/>
            <w:sz w:val="28"/>
            <w:szCs w:val="28"/>
          </w:rPr>
          <w:t>http://nsj.gov.ua/ua/news/osoblivosti-rozglyadu-sotsialnih-ta-pensiynih-sporiv</w:t>
        </w:r>
      </w:hyperlink>
      <w:r w:rsidRPr="00294718">
        <w:rPr>
          <w:rFonts w:ascii="Times New Roman" w:hAnsi="Times New Roman" w:cs="Times New Roman"/>
          <w:sz w:val="28"/>
          <w:szCs w:val="28"/>
        </w:rPr>
        <w:t xml:space="preserve"> </w:t>
      </w:r>
    </w:p>
    <w:p w14:paraId="31F95E0A"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 xml:space="preserve">Берназюк Ян. Конституційні гарантії реалізації права на соціальний захист </w:t>
      </w:r>
      <w:hyperlink r:id="rId6" w:history="1">
        <w:r w:rsidRPr="00294718">
          <w:rPr>
            <w:rStyle w:val="a4"/>
            <w:rFonts w:ascii="Times New Roman" w:hAnsi="Times New Roman" w:cs="Times New Roman"/>
            <w:sz w:val="28"/>
            <w:szCs w:val="28"/>
          </w:rPr>
          <w:t>https://supreme.court.gov.ua/userfiles/media/new_folder_for_uploads/supreme/2022_prezent/Prezent_Konst_garantii_soc_zahust.pdf</w:t>
        </w:r>
      </w:hyperlink>
      <w:r w:rsidRPr="00294718">
        <w:rPr>
          <w:rFonts w:ascii="Times New Roman" w:hAnsi="Times New Roman" w:cs="Times New Roman"/>
          <w:sz w:val="28"/>
          <w:szCs w:val="28"/>
        </w:rPr>
        <w:t xml:space="preserve"> </w:t>
      </w:r>
    </w:p>
    <w:p w14:paraId="46998637"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Берназюк Я</w:t>
      </w:r>
      <w:r>
        <w:rPr>
          <w:rFonts w:ascii="Times New Roman" w:hAnsi="Times New Roman" w:cs="Times New Roman"/>
          <w:sz w:val="28"/>
          <w:szCs w:val="28"/>
        </w:rPr>
        <w:t>н</w:t>
      </w:r>
      <w:r w:rsidRPr="00294718">
        <w:rPr>
          <w:rFonts w:ascii="Times New Roman" w:hAnsi="Times New Roman" w:cs="Times New Roman"/>
          <w:sz w:val="28"/>
          <w:szCs w:val="28"/>
        </w:rPr>
        <w:t xml:space="preserve">. Конституційні гарантії судового захисту соціальних прав та можливість їх обмеження процесуальним строком </w:t>
      </w:r>
      <w:hyperlink r:id="rId7" w:history="1">
        <w:r w:rsidRPr="00110E78">
          <w:rPr>
            <w:rStyle w:val="a4"/>
            <w:rFonts w:ascii="Times New Roman" w:hAnsi="Times New Roman" w:cs="Times New Roman"/>
            <w:sz w:val="28"/>
            <w:szCs w:val="28"/>
          </w:rPr>
          <w:t>https://sud.ua/ru/news/blog/173256-konstitutsiyni-garantiyi-sudovogo-zakhistu-sotsialnikh-prav-ta-mozhliet-yikh-obmezhennya-protsesualnim-strokom</w:t>
        </w:r>
      </w:hyperlink>
      <w:r>
        <w:rPr>
          <w:rFonts w:ascii="Times New Roman" w:hAnsi="Times New Roman" w:cs="Times New Roman"/>
          <w:sz w:val="28"/>
          <w:szCs w:val="28"/>
        </w:rPr>
        <w:t xml:space="preserve"> </w:t>
      </w:r>
      <w:r w:rsidRPr="00294718">
        <w:rPr>
          <w:rFonts w:ascii="Times New Roman" w:hAnsi="Times New Roman" w:cs="Times New Roman"/>
          <w:sz w:val="28"/>
          <w:szCs w:val="28"/>
        </w:rPr>
        <w:t xml:space="preserve"> </w:t>
      </w:r>
    </w:p>
    <w:p w14:paraId="0ABECAFE"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 xml:space="preserve">Берназюк Ян. Незастосування судом закону: між верховенством права та принципом розподілу державної влади (на прикладі захисту соціальних прав </w:t>
      </w:r>
      <w:hyperlink r:id="rId8" w:history="1">
        <w:r w:rsidRPr="00294718">
          <w:rPr>
            <w:rStyle w:val="a4"/>
            <w:rFonts w:ascii="Times New Roman" w:hAnsi="Times New Roman" w:cs="Times New Roman"/>
            <w:sz w:val="28"/>
            <w:szCs w:val="28"/>
          </w:rPr>
          <w:t>https://supreme.court.gov.ua/userfiles/media/new_folder_for_uploads/supreme/2023_prezent/Nezastosuvannia_sudom_zakonu_Bernaziuk.pdf</w:t>
        </w:r>
      </w:hyperlink>
      <w:r w:rsidRPr="00294718">
        <w:rPr>
          <w:rFonts w:ascii="Times New Roman" w:hAnsi="Times New Roman" w:cs="Times New Roman"/>
          <w:sz w:val="28"/>
          <w:szCs w:val="28"/>
        </w:rPr>
        <w:t xml:space="preserve"> </w:t>
      </w:r>
    </w:p>
    <w:p w14:paraId="547E3209"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 xml:space="preserve">Берназюк Ян. Обчислення строку для захисту соціальних прав у триваючих правовідносинах </w:t>
      </w:r>
      <w:hyperlink r:id="rId9" w:history="1">
        <w:r w:rsidRPr="00294718">
          <w:rPr>
            <w:rStyle w:val="a4"/>
            <w:rFonts w:ascii="Times New Roman" w:hAnsi="Times New Roman" w:cs="Times New Roman"/>
            <w:sz w:val="28"/>
            <w:szCs w:val="28"/>
          </w:rPr>
          <w:t>https://supreme.court.gov.ua/userfiles/media/new_folder_for_uploads/supreme/2023_prezent/ongoing_time.pdf</w:t>
        </w:r>
      </w:hyperlink>
      <w:r w:rsidRPr="00294718">
        <w:rPr>
          <w:rFonts w:ascii="Times New Roman" w:hAnsi="Times New Roman" w:cs="Times New Roman"/>
          <w:sz w:val="28"/>
          <w:szCs w:val="28"/>
        </w:rPr>
        <w:t xml:space="preserve"> </w:t>
      </w:r>
    </w:p>
    <w:p w14:paraId="08527337"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Берназюк Я</w:t>
      </w:r>
      <w:r>
        <w:rPr>
          <w:rFonts w:ascii="Times New Roman" w:hAnsi="Times New Roman" w:cs="Times New Roman"/>
          <w:sz w:val="28"/>
          <w:szCs w:val="28"/>
        </w:rPr>
        <w:t>н</w:t>
      </w:r>
      <w:r w:rsidRPr="00294718">
        <w:rPr>
          <w:rFonts w:ascii="Times New Roman" w:hAnsi="Times New Roman" w:cs="Times New Roman"/>
          <w:sz w:val="28"/>
          <w:szCs w:val="28"/>
        </w:rPr>
        <w:t xml:space="preserve">. Особливості обчислення строків звернення до адміністративного суду для захисту соціальних прав // Науковий вісник Ужгородського національного університету. – 2018. – Серія Право. – Випуск 50. – Т. 2. ‒ С. 7-11 </w:t>
      </w:r>
      <w:hyperlink r:id="rId10" w:history="1">
        <w:r w:rsidRPr="00294718">
          <w:rPr>
            <w:rStyle w:val="a4"/>
            <w:rFonts w:ascii="Times New Roman" w:hAnsi="Times New Roman" w:cs="Times New Roman"/>
            <w:sz w:val="28"/>
            <w:szCs w:val="28"/>
          </w:rPr>
          <w:t>http://www.visnyk-juris.uzhnu.uz.ua/index.php/archiv?id=163</w:t>
        </w:r>
      </w:hyperlink>
      <w:r w:rsidRPr="00294718">
        <w:rPr>
          <w:rFonts w:ascii="Times New Roman" w:hAnsi="Times New Roman" w:cs="Times New Roman"/>
          <w:sz w:val="28"/>
          <w:szCs w:val="28"/>
        </w:rPr>
        <w:t xml:space="preserve"> </w:t>
      </w:r>
    </w:p>
    <w:p w14:paraId="5E1AC6B1"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Берназюк Я</w:t>
      </w:r>
      <w:r>
        <w:rPr>
          <w:rFonts w:ascii="Times New Roman" w:hAnsi="Times New Roman" w:cs="Times New Roman"/>
          <w:sz w:val="28"/>
          <w:szCs w:val="28"/>
        </w:rPr>
        <w:t>н</w:t>
      </w:r>
      <w:r w:rsidRPr="00294718">
        <w:rPr>
          <w:rFonts w:ascii="Times New Roman" w:hAnsi="Times New Roman" w:cs="Times New Roman"/>
          <w:sz w:val="28"/>
          <w:szCs w:val="28"/>
        </w:rPr>
        <w:t xml:space="preserve">. Право на справедливий суд та принцип правової визначеності: строки у справах про соціальний захист </w:t>
      </w:r>
      <w:hyperlink r:id="rId11" w:history="1">
        <w:r w:rsidRPr="00294718">
          <w:rPr>
            <w:rStyle w:val="a4"/>
            <w:rFonts w:ascii="Times New Roman" w:hAnsi="Times New Roman" w:cs="Times New Roman"/>
            <w:sz w:val="28"/>
            <w:szCs w:val="28"/>
          </w:rPr>
          <w:t>https://supreme.court.gov.ua/userfiles/media/new_folder_for_uploads/supreme/2023_prezent/4_presentation_bernaziuk_social_terms_deaedlines.pdf</w:t>
        </w:r>
      </w:hyperlink>
      <w:r w:rsidRPr="00294718">
        <w:rPr>
          <w:rFonts w:ascii="Times New Roman" w:hAnsi="Times New Roman" w:cs="Times New Roman"/>
          <w:sz w:val="28"/>
          <w:szCs w:val="28"/>
        </w:rPr>
        <w:t xml:space="preserve"> </w:t>
      </w:r>
    </w:p>
    <w:p w14:paraId="338B58F7"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 xml:space="preserve">Берназюк Ян. Принцип законності як один із елементів верховенства права: особливості застосування під час вирішення соціальних спорів </w:t>
      </w:r>
      <w:hyperlink r:id="rId12" w:history="1">
        <w:r w:rsidRPr="00294718">
          <w:rPr>
            <w:rStyle w:val="a4"/>
            <w:rFonts w:ascii="Times New Roman" w:hAnsi="Times New Roman" w:cs="Times New Roman"/>
            <w:sz w:val="28"/>
            <w:szCs w:val="28"/>
          </w:rPr>
          <w:t>https://supreme.court.gov.ua/userfiles/media/new_folder_for_uploads/supreme/2023_prezent/presentation_bernaziuk_effectivenii_zahist%20(1).pdf</w:t>
        </w:r>
      </w:hyperlink>
      <w:r w:rsidRPr="00294718">
        <w:rPr>
          <w:rFonts w:ascii="Times New Roman" w:hAnsi="Times New Roman" w:cs="Times New Roman"/>
          <w:sz w:val="28"/>
          <w:szCs w:val="28"/>
        </w:rPr>
        <w:t xml:space="preserve"> </w:t>
      </w:r>
    </w:p>
    <w:p w14:paraId="03E0C46A" w14:textId="77777777"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 xml:space="preserve">Берназюк Ян. Строки звернення до суду у справах про соціальний захисту </w:t>
      </w:r>
      <w:hyperlink r:id="rId13" w:history="1">
        <w:r w:rsidRPr="00294718">
          <w:rPr>
            <w:rStyle w:val="a4"/>
            <w:rFonts w:ascii="Times New Roman" w:hAnsi="Times New Roman" w:cs="Times New Roman"/>
            <w:sz w:val="28"/>
            <w:szCs w:val="28"/>
          </w:rPr>
          <w:t>https://supreme.court.gov.ua/userfiles/media/new_folder_for_uploads/supreme/2023_prezent/1_presentation_bernaziuk_term.pdf</w:t>
        </w:r>
      </w:hyperlink>
      <w:r w:rsidRPr="00294718">
        <w:rPr>
          <w:rFonts w:ascii="Times New Roman" w:hAnsi="Times New Roman" w:cs="Times New Roman"/>
          <w:sz w:val="28"/>
          <w:szCs w:val="28"/>
        </w:rPr>
        <w:t xml:space="preserve"> </w:t>
      </w:r>
    </w:p>
    <w:p w14:paraId="13A33B75" w14:textId="04D9AAF6" w:rsid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294718">
        <w:rPr>
          <w:rFonts w:ascii="Times New Roman" w:hAnsi="Times New Roman" w:cs="Times New Roman"/>
          <w:sz w:val="28"/>
          <w:szCs w:val="28"/>
        </w:rPr>
        <w:t>Берназюк Я</w:t>
      </w:r>
      <w:r>
        <w:rPr>
          <w:rFonts w:ascii="Times New Roman" w:hAnsi="Times New Roman" w:cs="Times New Roman"/>
          <w:sz w:val="28"/>
          <w:szCs w:val="28"/>
        </w:rPr>
        <w:t>н</w:t>
      </w:r>
      <w:r w:rsidRPr="00294718">
        <w:rPr>
          <w:rFonts w:ascii="Times New Roman" w:hAnsi="Times New Roman" w:cs="Times New Roman"/>
          <w:sz w:val="28"/>
          <w:szCs w:val="28"/>
        </w:rPr>
        <w:t xml:space="preserve">. Темпоральні межі судового захисту соціальних прав // Соціальні права та їх захист адміністративним судом. Збірник матеріалів III Міжнародної науково-практичної конференції» (м. Київ, 4 вересня 2020 року). Київ: 2020. 424 с. – C. 150-157. </w:t>
      </w:r>
      <w:hyperlink r:id="rId14" w:history="1">
        <w:r w:rsidRPr="00294718">
          <w:rPr>
            <w:rStyle w:val="a4"/>
            <w:rFonts w:ascii="Times New Roman" w:hAnsi="Times New Roman" w:cs="Times New Roman"/>
            <w:sz w:val="28"/>
            <w:szCs w:val="28"/>
          </w:rPr>
          <w:t>https://rm.coe.int/materials-socialrights-2020/1680a165f8</w:t>
        </w:r>
      </w:hyperlink>
      <w:r w:rsidRPr="00294718">
        <w:rPr>
          <w:rFonts w:ascii="Times New Roman" w:hAnsi="Times New Roman" w:cs="Times New Roman"/>
          <w:sz w:val="28"/>
          <w:szCs w:val="28"/>
        </w:rPr>
        <w:t xml:space="preserve"> </w:t>
      </w:r>
    </w:p>
    <w:p w14:paraId="3E96D508" w14:textId="7D490493" w:rsidR="00294718" w:rsidRPr="00294718" w:rsidRDefault="00294718" w:rsidP="0037683E">
      <w:pPr>
        <w:pStyle w:val="a6"/>
        <w:numPr>
          <w:ilvl w:val="0"/>
          <w:numId w:val="1"/>
        </w:numPr>
        <w:spacing w:after="0" w:line="360" w:lineRule="auto"/>
        <w:ind w:left="0" w:firstLine="426"/>
        <w:jc w:val="both"/>
        <w:rPr>
          <w:rFonts w:ascii="Times New Roman" w:hAnsi="Times New Roman" w:cs="Times New Roman"/>
          <w:sz w:val="28"/>
          <w:szCs w:val="28"/>
        </w:rPr>
      </w:pPr>
      <w:r w:rsidRPr="00ED7545">
        <w:rPr>
          <w:rFonts w:ascii="Times New Roman" w:hAnsi="Times New Roman" w:cs="Times New Roman"/>
          <w:sz w:val="28"/>
          <w:szCs w:val="28"/>
        </w:rPr>
        <w:t>Ухвала</w:t>
      </w:r>
      <w:r>
        <w:rPr>
          <w:rFonts w:ascii="Times New Roman" w:hAnsi="Times New Roman" w:cs="Times New Roman"/>
          <w:sz w:val="28"/>
          <w:szCs w:val="28"/>
        </w:rPr>
        <w:t xml:space="preserve"> Касаційного адміністративного суду у складі Верховного </w:t>
      </w:r>
      <w:r w:rsidR="00A75CB8">
        <w:rPr>
          <w:rFonts w:ascii="Times New Roman" w:hAnsi="Times New Roman" w:cs="Times New Roman"/>
          <w:sz w:val="28"/>
          <w:szCs w:val="28"/>
        </w:rPr>
        <w:t>С</w:t>
      </w:r>
      <w:r>
        <w:rPr>
          <w:rFonts w:ascii="Times New Roman" w:hAnsi="Times New Roman" w:cs="Times New Roman"/>
          <w:sz w:val="28"/>
          <w:szCs w:val="28"/>
        </w:rPr>
        <w:t xml:space="preserve">уду від </w:t>
      </w:r>
      <w:r w:rsidRPr="00ED7545">
        <w:rPr>
          <w:rFonts w:ascii="Times New Roman" w:hAnsi="Times New Roman" w:cs="Times New Roman"/>
          <w:sz w:val="28"/>
          <w:szCs w:val="28"/>
        </w:rPr>
        <w:t>26 квітня 2024 року</w:t>
      </w:r>
      <w:r>
        <w:rPr>
          <w:rFonts w:ascii="Times New Roman" w:hAnsi="Times New Roman" w:cs="Times New Roman"/>
          <w:sz w:val="28"/>
          <w:szCs w:val="28"/>
        </w:rPr>
        <w:t xml:space="preserve"> у </w:t>
      </w:r>
      <w:r w:rsidRPr="00ED7545">
        <w:rPr>
          <w:rFonts w:ascii="Times New Roman" w:hAnsi="Times New Roman" w:cs="Times New Roman"/>
          <w:sz w:val="28"/>
          <w:szCs w:val="28"/>
        </w:rPr>
        <w:t>справ</w:t>
      </w:r>
      <w:r>
        <w:rPr>
          <w:rFonts w:ascii="Times New Roman" w:hAnsi="Times New Roman" w:cs="Times New Roman"/>
          <w:sz w:val="28"/>
          <w:szCs w:val="28"/>
        </w:rPr>
        <w:t>і</w:t>
      </w:r>
      <w:r w:rsidRPr="00ED7545">
        <w:rPr>
          <w:rFonts w:ascii="Times New Roman" w:hAnsi="Times New Roman" w:cs="Times New Roman"/>
          <w:sz w:val="28"/>
          <w:szCs w:val="28"/>
        </w:rPr>
        <w:t xml:space="preserve"> № 360/917/23</w:t>
      </w:r>
      <w:r>
        <w:rPr>
          <w:rFonts w:ascii="Times New Roman" w:hAnsi="Times New Roman" w:cs="Times New Roman"/>
          <w:sz w:val="28"/>
          <w:szCs w:val="28"/>
        </w:rPr>
        <w:t xml:space="preserve"> (</w:t>
      </w:r>
      <w:r w:rsidRPr="00ED7545">
        <w:rPr>
          <w:rFonts w:ascii="Times New Roman" w:hAnsi="Times New Roman" w:cs="Times New Roman"/>
          <w:sz w:val="28"/>
          <w:szCs w:val="28"/>
        </w:rPr>
        <w:t>адміністративне провадження № К/990/43516/23</w:t>
      </w:r>
      <w:r>
        <w:rPr>
          <w:rFonts w:ascii="Times New Roman" w:hAnsi="Times New Roman" w:cs="Times New Roman"/>
          <w:sz w:val="28"/>
          <w:szCs w:val="28"/>
        </w:rPr>
        <w:t xml:space="preserve">) </w:t>
      </w:r>
      <w:hyperlink r:id="rId15" w:history="1">
        <w:r w:rsidRPr="00110E78">
          <w:rPr>
            <w:rStyle w:val="a4"/>
            <w:rFonts w:ascii="Times New Roman" w:hAnsi="Times New Roman" w:cs="Times New Roman"/>
            <w:sz w:val="28"/>
            <w:szCs w:val="28"/>
          </w:rPr>
          <w:t>https://reyestr.court.gov.ua/Review/118662287</w:t>
        </w:r>
      </w:hyperlink>
    </w:p>
    <w:sectPr w:rsidR="00294718" w:rsidRPr="00294718" w:rsidSect="00D854DA">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8BD"/>
    <w:multiLevelType w:val="hybridMultilevel"/>
    <w:tmpl w:val="2ECA4C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1EA11B0"/>
    <w:multiLevelType w:val="hybridMultilevel"/>
    <w:tmpl w:val="C868B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01035810">
    <w:abstractNumId w:val="0"/>
  </w:num>
  <w:num w:numId="2" w16cid:durableId="197290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74"/>
    <w:rsid w:val="000C15BD"/>
    <w:rsid w:val="00250C74"/>
    <w:rsid w:val="00294718"/>
    <w:rsid w:val="0037683E"/>
    <w:rsid w:val="00386A1F"/>
    <w:rsid w:val="00A75CB8"/>
    <w:rsid w:val="00D854DA"/>
    <w:rsid w:val="00E03EC6"/>
    <w:rsid w:val="00EB0F9B"/>
    <w:rsid w:val="00ED7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2ECA"/>
  <w15:chartTrackingRefBased/>
  <w15:docId w15:val="{D45D122E-02F1-4537-9DEA-A03A4085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54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5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D7545"/>
    <w:rPr>
      <w:color w:val="0563C1" w:themeColor="hyperlink"/>
      <w:u w:val="single"/>
    </w:rPr>
  </w:style>
  <w:style w:type="character" w:styleId="a5">
    <w:name w:val="Unresolved Mention"/>
    <w:basedOn w:val="a0"/>
    <w:uiPriority w:val="99"/>
    <w:semiHidden/>
    <w:unhideWhenUsed/>
    <w:rsid w:val="00ED7545"/>
    <w:rPr>
      <w:color w:val="605E5C"/>
      <w:shd w:val="clear" w:color="auto" w:fill="E1DFDD"/>
    </w:rPr>
  </w:style>
  <w:style w:type="paragraph" w:styleId="a6">
    <w:name w:val="List Paragraph"/>
    <w:basedOn w:val="a"/>
    <w:uiPriority w:val="34"/>
    <w:qFormat/>
    <w:rsid w:val="0029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5640">
      <w:bodyDiv w:val="1"/>
      <w:marLeft w:val="0"/>
      <w:marRight w:val="0"/>
      <w:marTop w:val="0"/>
      <w:marBottom w:val="0"/>
      <w:divBdr>
        <w:top w:val="none" w:sz="0" w:space="0" w:color="auto"/>
        <w:left w:val="none" w:sz="0" w:space="0" w:color="auto"/>
        <w:bottom w:val="none" w:sz="0" w:space="0" w:color="auto"/>
        <w:right w:val="none" w:sz="0" w:space="0" w:color="auto"/>
      </w:divBdr>
    </w:div>
    <w:div w:id="1022781109">
      <w:bodyDiv w:val="1"/>
      <w:marLeft w:val="0"/>
      <w:marRight w:val="0"/>
      <w:marTop w:val="0"/>
      <w:marBottom w:val="0"/>
      <w:divBdr>
        <w:top w:val="none" w:sz="0" w:space="0" w:color="auto"/>
        <w:left w:val="none" w:sz="0" w:space="0" w:color="auto"/>
        <w:bottom w:val="none" w:sz="0" w:space="0" w:color="auto"/>
        <w:right w:val="none" w:sz="0" w:space="0" w:color="auto"/>
      </w:divBdr>
    </w:div>
    <w:div w:id="1378555068">
      <w:bodyDiv w:val="1"/>
      <w:marLeft w:val="0"/>
      <w:marRight w:val="0"/>
      <w:marTop w:val="0"/>
      <w:marBottom w:val="0"/>
      <w:divBdr>
        <w:top w:val="none" w:sz="0" w:space="0" w:color="auto"/>
        <w:left w:val="none" w:sz="0" w:space="0" w:color="auto"/>
        <w:bottom w:val="none" w:sz="0" w:space="0" w:color="auto"/>
        <w:right w:val="none" w:sz="0" w:space="0" w:color="auto"/>
      </w:divBdr>
    </w:div>
    <w:div w:id="15930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userfiles/media/new_folder_for_uploads/supreme/2023_prezent/Nezastosuvannia_sudom_zakonu_Bernaziuk.pdf" TargetMode="External"/><Relationship Id="rId13" Type="http://schemas.openxmlformats.org/officeDocument/2006/relationships/hyperlink" Target="https://supreme.court.gov.ua/userfiles/media/new_folder_for_uploads/supreme/2023_prezent/1_presentation_bernaziuk_term.pdf" TargetMode="External"/><Relationship Id="rId3" Type="http://schemas.openxmlformats.org/officeDocument/2006/relationships/settings" Target="settings.xml"/><Relationship Id="rId7" Type="http://schemas.openxmlformats.org/officeDocument/2006/relationships/hyperlink" Target="https://sud.ua/ru/news/blog/173256-konstitutsiyni-garantiyi-sudovogo-zakhistu-sotsialnikh-prav-ta-mozhliet-yikh-obmezhennya-protsesualnim-strokom" TargetMode="External"/><Relationship Id="rId12" Type="http://schemas.openxmlformats.org/officeDocument/2006/relationships/hyperlink" Target="https://supreme.court.gov.ua/userfiles/media/new_folder_for_uploads/supreme/2023_prezent/presentation_bernaziuk_effectivenii_zahist%2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reme.court.gov.ua/userfiles/media/new_folder_for_uploads/supreme/2022_prezent/Prezent_Konst_garantii_soc_zahust.pdf" TargetMode="External"/><Relationship Id="rId11" Type="http://schemas.openxmlformats.org/officeDocument/2006/relationships/hyperlink" Target="https://supreme.court.gov.ua/userfiles/media/new_folder_for_uploads/supreme/2023_prezent/4_presentation_bernaziuk_social_terms_deaedlines.pdf" TargetMode="External"/><Relationship Id="rId5" Type="http://schemas.openxmlformats.org/officeDocument/2006/relationships/hyperlink" Target="http://nsj.gov.ua/ua/news/osoblivosti-rozglyadu-sotsialnih-ta-pensiynih-sporiv" TargetMode="External"/><Relationship Id="rId15" Type="http://schemas.openxmlformats.org/officeDocument/2006/relationships/hyperlink" Target="https://reyestr.court.gov.ua/Review/118662287" TargetMode="External"/><Relationship Id="rId10" Type="http://schemas.openxmlformats.org/officeDocument/2006/relationships/hyperlink" Target="http://www.visnyk-juris.uzhnu.uz.ua/index.php/archiv?id=163" TargetMode="External"/><Relationship Id="rId4" Type="http://schemas.openxmlformats.org/officeDocument/2006/relationships/webSettings" Target="webSettings.xml"/><Relationship Id="rId9" Type="http://schemas.openxmlformats.org/officeDocument/2006/relationships/hyperlink" Target="https://supreme.court.gov.ua/userfiles/media/new_folder_for_uploads/supreme/2023_prezent/ongoing_time.pdf" TargetMode="External"/><Relationship Id="rId14" Type="http://schemas.openxmlformats.org/officeDocument/2006/relationships/hyperlink" Target="https://rm.coe.int/materials-socialrights-2020/1680a165f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10295</Words>
  <Characters>5869</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Олександрович Берназюк</dc:creator>
  <cp:keywords/>
  <dc:description/>
  <cp:lastModifiedBy>Ян Олександрович Берназюк</cp:lastModifiedBy>
  <cp:revision>3</cp:revision>
  <dcterms:created xsi:type="dcterms:W3CDTF">2024-06-03T16:16:00Z</dcterms:created>
  <dcterms:modified xsi:type="dcterms:W3CDTF">2024-06-03T16:57:00Z</dcterms:modified>
</cp:coreProperties>
</file>