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2A7" w:rsidRPr="00D32F25" w:rsidRDefault="001C02A7" w:rsidP="007F0F61">
      <w:pPr>
        <w:pStyle w:val="aa"/>
        <w:spacing w:before="0" w:beforeAutospacing="0" w:after="0" w:afterAutospacing="0"/>
        <w:ind w:firstLine="6095"/>
        <w:rPr>
          <w:sz w:val="28"/>
          <w:szCs w:val="28"/>
        </w:rPr>
      </w:pPr>
      <w:r w:rsidRPr="00D32F25">
        <w:rPr>
          <w:sz w:val="28"/>
          <w:szCs w:val="28"/>
        </w:rPr>
        <w:t>Берназюк Ян Олександрович</w:t>
      </w:r>
    </w:p>
    <w:p w:rsidR="001C02A7" w:rsidRPr="00D32F25" w:rsidRDefault="001C02A7" w:rsidP="007F0F61">
      <w:pPr>
        <w:pStyle w:val="aa"/>
        <w:spacing w:before="0" w:beforeAutospacing="0" w:after="0" w:afterAutospacing="0"/>
        <w:ind w:firstLine="6095"/>
        <w:rPr>
          <w:sz w:val="28"/>
          <w:szCs w:val="28"/>
        </w:rPr>
      </w:pPr>
      <w:r w:rsidRPr="00D32F25">
        <w:rPr>
          <w:sz w:val="28"/>
          <w:szCs w:val="28"/>
        </w:rPr>
        <w:t>д.ю.н., професор,</w:t>
      </w:r>
    </w:p>
    <w:p w:rsidR="001C02A7" w:rsidRPr="00D32F25" w:rsidRDefault="001C02A7" w:rsidP="007F0F61">
      <w:pPr>
        <w:pStyle w:val="aa"/>
        <w:spacing w:before="0" w:beforeAutospacing="0" w:after="0" w:afterAutospacing="0"/>
        <w:ind w:firstLine="6095"/>
        <w:rPr>
          <w:sz w:val="28"/>
          <w:szCs w:val="28"/>
        </w:rPr>
      </w:pPr>
      <w:r w:rsidRPr="00D32F25">
        <w:rPr>
          <w:sz w:val="28"/>
          <w:szCs w:val="28"/>
        </w:rPr>
        <w:t>заслужений юрист України</w:t>
      </w:r>
    </w:p>
    <w:p w:rsidR="001C02A7" w:rsidRPr="00D32F25" w:rsidRDefault="001C02A7" w:rsidP="008513B9">
      <w:pPr>
        <w:tabs>
          <w:tab w:val="left" w:pos="1134"/>
        </w:tabs>
        <w:spacing w:after="0" w:line="360" w:lineRule="auto"/>
        <w:ind w:firstLine="567"/>
        <w:rPr>
          <w:rFonts w:ascii="Times New Roman" w:eastAsia="Times New Roman" w:hAnsi="Times New Roman" w:cs="Times New Roman"/>
          <w:i/>
          <w:iCs/>
          <w:kern w:val="0"/>
          <w:sz w:val="28"/>
          <w:szCs w:val="28"/>
          <w:lang w:eastAsia="uk-UA"/>
          <w14:ligatures w14:val="none"/>
        </w:rPr>
      </w:pPr>
    </w:p>
    <w:p w:rsidR="008513B9" w:rsidRPr="00D32F25" w:rsidRDefault="008513B9" w:rsidP="008513B9">
      <w:pPr>
        <w:tabs>
          <w:tab w:val="left" w:pos="1134"/>
        </w:tabs>
        <w:spacing w:after="0" w:line="360" w:lineRule="auto"/>
        <w:ind w:firstLine="567"/>
        <w:jc w:val="right"/>
        <w:rPr>
          <w:rFonts w:ascii="Times New Roman" w:eastAsia="Times New Roman" w:hAnsi="Times New Roman" w:cs="Times New Roman"/>
          <w:b/>
          <w:bCs/>
          <w:kern w:val="0"/>
          <w:sz w:val="28"/>
          <w:szCs w:val="28"/>
          <w:lang w:eastAsia="uk-UA"/>
          <w14:ligatures w14:val="none"/>
        </w:rPr>
      </w:pPr>
    </w:p>
    <w:p w:rsidR="008513B9" w:rsidRPr="00D32F25" w:rsidRDefault="008513B9" w:rsidP="008513B9">
      <w:pPr>
        <w:tabs>
          <w:tab w:val="left" w:pos="1134"/>
        </w:tabs>
        <w:spacing w:after="0" w:line="360" w:lineRule="auto"/>
        <w:ind w:firstLine="567"/>
        <w:jc w:val="center"/>
        <w:rPr>
          <w:rFonts w:ascii="Times New Roman" w:eastAsia="Times New Roman" w:hAnsi="Times New Roman" w:cs="Times New Roman"/>
          <w:b/>
          <w:bCs/>
          <w:kern w:val="0"/>
          <w:sz w:val="28"/>
          <w:szCs w:val="28"/>
          <w:lang w:eastAsia="uk-UA"/>
          <w14:ligatures w14:val="none"/>
        </w:rPr>
      </w:pPr>
      <w:r w:rsidRPr="00D32F25">
        <w:rPr>
          <w:rFonts w:ascii="Times New Roman" w:eastAsia="Times New Roman" w:hAnsi="Times New Roman" w:cs="Times New Roman"/>
          <w:b/>
          <w:bCs/>
          <w:kern w:val="0"/>
          <w:sz w:val="28"/>
          <w:szCs w:val="28"/>
          <w:lang w:eastAsia="uk-UA"/>
          <w14:ligatures w14:val="none"/>
        </w:rPr>
        <w:t xml:space="preserve">ТЛУМАЧЕННЯ ЗАКОНУ ЧЕРЕЗ З’ЯСУВАННЯ ВОЛІ ЗАКОНОДАВЦЯ: </w:t>
      </w:r>
      <w:r w:rsidR="00917CDF" w:rsidRPr="00D32F25">
        <w:rPr>
          <w:rFonts w:ascii="Times New Roman" w:eastAsia="Times New Roman" w:hAnsi="Times New Roman" w:cs="Times New Roman"/>
          <w:b/>
          <w:bCs/>
          <w:kern w:val="0"/>
          <w:sz w:val="28"/>
          <w:szCs w:val="28"/>
          <w:lang w:eastAsia="uk-UA"/>
          <w14:ligatures w14:val="none"/>
        </w:rPr>
        <w:t>СПІВВІДНОШЕННЯ ДУХУ І БУКВИ В КОНТЕКСТІ ВЕРХОВЕНСТВА ПРАВА</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eastAsia="uk-UA"/>
          <w14:ligatures w14:val="none"/>
        </w:rPr>
      </w:pPr>
    </w:p>
    <w:p w:rsidR="008513B9" w:rsidRPr="00D32F25" w:rsidRDefault="008513B9" w:rsidP="008513B9">
      <w:pPr>
        <w:tabs>
          <w:tab w:val="left" w:pos="1134"/>
        </w:tabs>
        <w:spacing w:after="0" w:line="360" w:lineRule="auto"/>
        <w:ind w:firstLine="567"/>
        <w:jc w:val="both"/>
        <w:rPr>
          <w:rFonts w:ascii="Times New Roman" w:hAnsi="Times New Roman" w:cs="Times New Roman"/>
          <w:sz w:val="28"/>
          <w:szCs w:val="28"/>
        </w:rPr>
      </w:pPr>
      <w:r w:rsidRPr="00D32F25">
        <w:rPr>
          <w:rFonts w:ascii="Times New Roman" w:hAnsi="Times New Roman" w:cs="Times New Roman"/>
          <w:sz w:val="28"/>
          <w:szCs w:val="28"/>
        </w:rPr>
        <w:t xml:space="preserve">Стаття присвячена комплексному аналізу підходу до тлумачення норм </w:t>
      </w:r>
      <w:r w:rsidR="00B67B55" w:rsidRPr="00D32F25">
        <w:rPr>
          <w:rFonts w:ascii="Times New Roman" w:hAnsi="Times New Roman" w:cs="Times New Roman"/>
          <w:sz w:val="28"/>
          <w:szCs w:val="28"/>
        </w:rPr>
        <w:t xml:space="preserve">права </w:t>
      </w:r>
      <w:r w:rsidRPr="00D32F25">
        <w:rPr>
          <w:rFonts w:ascii="Times New Roman" w:hAnsi="Times New Roman" w:cs="Times New Roman"/>
          <w:sz w:val="28"/>
          <w:szCs w:val="28"/>
        </w:rPr>
        <w:t xml:space="preserve">через з’ясування волі </w:t>
      </w:r>
      <w:r w:rsidR="00B67B55" w:rsidRPr="00D32F25">
        <w:rPr>
          <w:rFonts w:ascii="Times New Roman" w:hAnsi="Times New Roman" w:cs="Times New Roman"/>
          <w:sz w:val="28"/>
          <w:szCs w:val="28"/>
        </w:rPr>
        <w:t>суб’єкта нормотворення</w:t>
      </w:r>
      <w:r w:rsidRPr="00D32F25">
        <w:rPr>
          <w:rFonts w:ascii="Times New Roman" w:hAnsi="Times New Roman" w:cs="Times New Roman"/>
          <w:sz w:val="28"/>
          <w:szCs w:val="28"/>
        </w:rPr>
        <w:t xml:space="preserve"> як інструменту для подолання прогалин і</w:t>
      </w:r>
      <w:r w:rsidR="0049045C" w:rsidRPr="00D32F25">
        <w:rPr>
          <w:rFonts w:ascii="Times New Roman" w:hAnsi="Times New Roman" w:cs="Times New Roman"/>
          <w:sz w:val="28"/>
          <w:szCs w:val="28"/>
        </w:rPr>
        <w:t xml:space="preserve"> вирішення колізій</w:t>
      </w:r>
      <w:r w:rsidRPr="00D32F25">
        <w:rPr>
          <w:rFonts w:ascii="Times New Roman" w:hAnsi="Times New Roman" w:cs="Times New Roman"/>
          <w:sz w:val="28"/>
          <w:szCs w:val="28"/>
        </w:rPr>
        <w:t xml:space="preserve"> у чинному законодавстві. </w:t>
      </w:r>
      <w:r w:rsidR="00A1153D" w:rsidRPr="00D32F25">
        <w:rPr>
          <w:rFonts w:ascii="Times New Roman" w:hAnsi="Times New Roman" w:cs="Times New Roman"/>
          <w:sz w:val="28"/>
          <w:szCs w:val="28"/>
        </w:rPr>
        <w:t>Для цілей цього дослідження поняття "воля законодавця" вживається у широк</w:t>
      </w:r>
      <w:r w:rsidR="001A6E10" w:rsidRPr="00D32F25">
        <w:rPr>
          <w:rFonts w:ascii="Times New Roman" w:hAnsi="Times New Roman" w:cs="Times New Roman"/>
          <w:sz w:val="28"/>
          <w:szCs w:val="28"/>
        </w:rPr>
        <w:t xml:space="preserve">ому значенні, що охоплює дійсний намір </w:t>
      </w:r>
      <w:r w:rsidR="00A1153D" w:rsidRPr="00D32F25">
        <w:rPr>
          <w:rFonts w:ascii="Times New Roman" w:hAnsi="Times New Roman" w:cs="Times New Roman"/>
          <w:sz w:val="28"/>
          <w:szCs w:val="28"/>
        </w:rPr>
        <w:t>будь-якого належного суб’єкта нормотворення (як законодавчої, так і виконавчої гілок влади) під час розробки та ухвалення акта</w:t>
      </w:r>
      <w:r w:rsidR="00B67B55" w:rsidRPr="00D32F25">
        <w:rPr>
          <w:rFonts w:ascii="Times New Roman" w:hAnsi="Times New Roman" w:cs="Times New Roman"/>
          <w:sz w:val="28"/>
          <w:szCs w:val="28"/>
        </w:rPr>
        <w:t xml:space="preserve"> законодавства</w:t>
      </w:r>
      <w:r w:rsidR="00A1153D" w:rsidRPr="00D32F25">
        <w:rPr>
          <w:rFonts w:ascii="Times New Roman" w:hAnsi="Times New Roman" w:cs="Times New Roman"/>
          <w:sz w:val="28"/>
          <w:szCs w:val="28"/>
        </w:rPr>
        <w:t xml:space="preserve">. </w:t>
      </w:r>
      <w:r w:rsidRPr="00D32F25">
        <w:rPr>
          <w:rFonts w:ascii="Times New Roman" w:hAnsi="Times New Roman" w:cs="Times New Roman"/>
          <w:sz w:val="28"/>
          <w:szCs w:val="28"/>
        </w:rPr>
        <w:t>Особлива увага приділяється дослідженню співвідношення</w:t>
      </w:r>
      <w:r w:rsidR="001C02A7" w:rsidRPr="00D32F25">
        <w:rPr>
          <w:rFonts w:ascii="Times New Roman" w:hAnsi="Times New Roman" w:cs="Times New Roman"/>
          <w:sz w:val="28"/>
          <w:szCs w:val="28"/>
        </w:rPr>
        <w:t xml:space="preserve"> між </w:t>
      </w:r>
      <w:r w:rsidRPr="00D32F25">
        <w:rPr>
          <w:rFonts w:ascii="Times New Roman" w:hAnsi="Times New Roman" w:cs="Times New Roman"/>
          <w:sz w:val="28"/>
          <w:szCs w:val="28"/>
        </w:rPr>
        <w:t>духом</w:t>
      </w:r>
      <w:r w:rsidR="001C02A7" w:rsidRPr="00D32F25">
        <w:rPr>
          <w:rFonts w:ascii="Times New Roman" w:hAnsi="Times New Roman" w:cs="Times New Roman"/>
          <w:sz w:val="28"/>
          <w:szCs w:val="28"/>
        </w:rPr>
        <w:t xml:space="preserve"> і </w:t>
      </w:r>
      <w:r w:rsidRPr="00D32F25">
        <w:rPr>
          <w:rFonts w:ascii="Times New Roman" w:hAnsi="Times New Roman" w:cs="Times New Roman"/>
          <w:sz w:val="28"/>
          <w:szCs w:val="28"/>
        </w:rPr>
        <w:t xml:space="preserve">буквою закону в контексті утвердження верховенства права та забезпечення справедливості, особливо в умовах динамічних суспільних </w:t>
      </w:r>
      <w:r w:rsidR="001C02A7" w:rsidRPr="00D32F25">
        <w:rPr>
          <w:rFonts w:ascii="Times New Roman" w:hAnsi="Times New Roman" w:cs="Times New Roman"/>
          <w:sz w:val="28"/>
          <w:szCs w:val="28"/>
        </w:rPr>
        <w:t>змін</w:t>
      </w:r>
      <w:r w:rsidR="00B67B55" w:rsidRPr="00D32F25">
        <w:rPr>
          <w:rFonts w:ascii="Times New Roman" w:hAnsi="Times New Roman" w:cs="Times New Roman"/>
          <w:sz w:val="28"/>
          <w:szCs w:val="28"/>
        </w:rPr>
        <w:t>,</w:t>
      </w:r>
      <w:r w:rsidR="00B67B55" w:rsidRPr="00D32F25">
        <w:rPr>
          <w:rFonts w:ascii="Times New Roman" w:eastAsia="Times New Roman" w:hAnsi="Times New Roman" w:cs="Times New Roman"/>
          <w:kern w:val="0"/>
          <w:sz w:val="28"/>
          <w:szCs w:val="28"/>
          <w:lang w:eastAsia="uk-UA"/>
          <w14:ligatures w14:val="none"/>
        </w:rPr>
        <w:t xml:space="preserve"> технологічних викликів</w:t>
      </w:r>
      <w:r w:rsidR="001C02A7" w:rsidRPr="00D32F25">
        <w:rPr>
          <w:rFonts w:ascii="Times New Roman" w:hAnsi="Times New Roman" w:cs="Times New Roman"/>
          <w:sz w:val="28"/>
          <w:szCs w:val="28"/>
        </w:rPr>
        <w:t xml:space="preserve"> </w:t>
      </w:r>
      <w:r w:rsidRPr="00D32F25">
        <w:rPr>
          <w:rFonts w:ascii="Times New Roman" w:hAnsi="Times New Roman" w:cs="Times New Roman"/>
          <w:sz w:val="28"/>
          <w:szCs w:val="28"/>
        </w:rPr>
        <w:t>та кризових явищ.</w:t>
      </w:r>
    </w:p>
    <w:p w:rsidR="001C02A7" w:rsidRPr="00D32F25"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 xml:space="preserve">Автор розкриває сутність концепції волі законодавця та проводить аналіз інструментів для її виявлення, зокрема через урахування змісту </w:t>
      </w:r>
      <w:r w:rsidR="00EF455C" w:rsidRPr="00D32F25">
        <w:rPr>
          <w:rFonts w:ascii="Times New Roman" w:eastAsia="Times New Roman" w:hAnsi="Times New Roman" w:cs="Times New Roman"/>
          <w:kern w:val="0"/>
          <w:sz w:val="28"/>
          <w:szCs w:val="28"/>
          <w:lang w:eastAsia="uk-UA"/>
          <w14:ligatures w14:val="none"/>
        </w:rPr>
        <w:t>підготовч</w:t>
      </w:r>
      <w:r w:rsidR="00DF0FC5" w:rsidRPr="00D32F25">
        <w:rPr>
          <w:rFonts w:ascii="Times New Roman" w:eastAsia="Times New Roman" w:hAnsi="Times New Roman" w:cs="Times New Roman"/>
          <w:kern w:val="0"/>
          <w:sz w:val="28"/>
          <w:szCs w:val="28"/>
          <w:lang w:eastAsia="uk-UA"/>
          <w14:ligatures w14:val="none"/>
        </w:rPr>
        <w:t>их</w:t>
      </w:r>
      <w:r w:rsidR="00EF455C" w:rsidRPr="00D32F25">
        <w:rPr>
          <w:rFonts w:ascii="Times New Roman" w:eastAsia="Times New Roman" w:hAnsi="Times New Roman" w:cs="Times New Roman"/>
          <w:kern w:val="0"/>
          <w:sz w:val="28"/>
          <w:szCs w:val="28"/>
          <w:lang w:eastAsia="uk-UA"/>
          <w14:ligatures w14:val="none"/>
        </w:rPr>
        <w:t xml:space="preserve"> матеріал</w:t>
      </w:r>
      <w:r w:rsidR="00DF0FC5" w:rsidRPr="00D32F25">
        <w:rPr>
          <w:rFonts w:ascii="Times New Roman" w:eastAsia="Times New Roman" w:hAnsi="Times New Roman" w:cs="Times New Roman"/>
          <w:kern w:val="0"/>
          <w:sz w:val="28"/>
          <w:szCs w:val="28"/>
          <w:lang w:eastAsia="uk-UA"/>
          <w14:ligatures w14:val="none"/>
        </w:rPr>
        <w:t>ів</w:t>
      </w:r>
      <w:r w:rsidR="00EF455C" w:rsidRPr="00D32F25">
        <w:rPr>
          <w:rFonts w:ascii="Times New Roman" w:eastAsia="Times New Roman" w:hAnsi="Times New Roman" w:cs="Times New Roman"/>
          <w:kern w:val="0"/>
          <w:sz w:val="28"/>
          <w:szCs w:val="28"/>
          <w:lang w:eastAsia="uk-UA"/>
          <w14:ligatures w14:val="none"/>
        </w:rPr>
        <w:t xml:space="preserve"> до проєктів відповідних актів законодавства (пояснювальні записки, стенограми обговорень, висновки профільних комітетів тощо) та преамбули ухвалених актів</w:t>
      </w:r>
      <w:r w:rsidR="001C02A7" w:rsidRPr="00D32F25">
        <w:rPr>
          <w:rFonts w:ascii="Times New Roman" w:eastAsia="Times New Roman" w:hAnsi="Times New Roman" w:cs="Times New Roman"/>
          <w:kern w:val="0"/>
          <w:sz w:val="28"/>
          <w:szCs w:val="28"/>
          <w:lang w:eastAsia="uk-UA"/>
          <w14:ligatures w14:val="none"/>
        </w:rPr>
        <w:t xml:space="preserve">. Все це </w:t>
      </w:r>
      <w:r w:rsidRPr="00D32F25">
        <w:rPr>
          <w:rFonts w:ascii="Times New Roman" w:eastAsia="Times New Roman" w:hAnsi="Times New Roman" w:cs="Times New Roman"/>
          <w:kern w:val="0"/>
          <w:sz w:val="28"/>
          <w:szCs w:val="28"/>
          <w:lang w:eastAsia="uk-UA"/>
          <w14:ligatures w14:val="none"/>
        </w:rPr>
        <w:t>розгляда</w:t>
      </w:r>
      <w:r w:rsidR="001C02A7" w:rsidRPr="00D32F25">
        <w:rPr>
          <w:rFonts w:ascii="Times New Roman" w:eastAsia="Times New Roman" w:hAnsi="Times New Roman" w:cs="Times New Roman"/>
          <w:kern w:val="0"/>
          <w:sz w:val="28"/>
          <w:szCs w:val="28"/>
          <w:lang w:eastAsia="uk-UA"/>
          <w14:ligatures w14:val="none"/>
        </w:rPr>
        <w:t>є</w:t>
      </w:r>
      <w:r w:rsidRPr="00D32F25">
        <w:rPr>
          <w:rFonts w:ascii="Times New Roman" w:eastAsia="Times New Roman" w:hAnsi="Times New Roman" w:cs="Times New Roman"/>
          <w:kern w:val="0"/>
          <w:sz w:val="28"/>
          <w:szCs w:val="28"/>
          <w:lang w:eastAsia="uk-UA"/>
          <w14:ligatures w14:val="none"/>
        </w:rPr>
        <w:t>ться як ключові джерела для реконструкції історичного контексту ухвалення акта та з’ясування спра</w:t>
      </w:r>
      <w:r w:rsidR="001C02A7" w:rsidRPr="00D32F25">
        <w:rPr>
          <w:rFonts w:ascii="Times New Roman" w:eastAsia="Times New Roman" w:hAnsi="Times New Roman" w:cs="Times New Roman"/>
          <w:kern w:val="0"/>
          <w:sz w:val="28"/>
          <w:szCs w:val="28"/>
          <w:lang w:eastAsia="uk-UA"/>
          <w14:ligatures w14:val="none"/>
        </w:rPr>
        <w:t>вжнь</w:t>
      </w:r>
      <w:r w:rsidR="008D3654" w:rsidRPr="00D32F25">
        <w:rPr>
          <w:rFonts w:ascii="Times New Roman" w:eastAsia="Times New Roman" w:hAnsi="Times New Roman" w:cs="Times New Roman"/>
          <w:kern w:val="0"/>
          <w:sz w:val="28"/>
          <w:szCs w:val="28"/>
          <w:lang w:eastAsia="uk-UA"/>
          <w14:ligatures w14:val="none"/>
        </w:rPr>
        <w:t>ої волі суб’єкта нормотворення</w:t>
      </w:r>
      <w:r w:rsidRPr="00D32F25">
        <w:rPr>
          <w:rFonts w:ascii="Times New Roman" w:eastAsia="Times New Roman" w:hAnsi="Times New Roman" w:cs="Times New Roman"/>
          <w:kern w:val="0"/>
          <w:sz w:val="28"/>
          <w:szCs w:val="28"/>
          <w:lang w:eastAsia="uk-UA"/>
          <w14:ligatures w14:val="none"/>
        </w:rPr>
        <w:t xml:space="preserve">. </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 xml:space="preserve">У статті доведено, що системний аналіз цих </w:t>
      </w:r>
      <w:r w:rsidR="001C02A7" w:rsidRPr="00D32F25">
        <w:rPr>
          <w:rFonts w:ascii="Times New Roman" w:eastAsia="Times New Roman" w:hAnsi="Times New Roman" w:cs="Times New Roman"/>
          <w:kern w:val="0"/>
          <w:sz w:val="28"/>
          <w:szCs w:val="28"/>
          <w:lang w:eastAsia="uk-UA"/>
          <w14:ligatures w14:val="none"/>
        </w:rPr>
        <w:t xml:space="preserve">допоміжних </w:t>
      </w:r>
      <w:r w:rsidRPr="00D32F25">
        <w:rPr>
          <w:rFonts w:ascii="Times New Roman" w:eastAsia="Times New Roman" w:hAnsi="Times New Roman" w:cs="Times New Roman"/>
          <w:kern w:val="0"/>
          <w:sz w:val="28"/>
          <w:szCs w:val="28"/>
          <w:lang w:eastAsia="uk-UA"/>
          <w14:ligatures w14:val="none"/>
        </w:rPr>
        <w:t xml:space="preserve">документів дозволяє вийти за </w:t>
      </w:r>
      <w:r w:rsidR="001C02A7" w:rsidRPr="00D32F25">
        <w:rPr>
          <w:rFonts w:ascii="Times New Roman" w:eastAsia="Times New Roman" w:hAnsi="Times New Roman" w:cs="Times New Roman"/>
          <w:kern w:val="0"/>
          <w:sz w:val="28"/>
          <w:szCs w:val="28"/>
          <w:lang w:eastAsia="uk-UA"/>
          <w14:ligatures w14:val="none"/>
        </w:rPr>
        <w:t>межі</w:t>
      </w:r>
      <w:r w:rsidRPr="00D32F25">
        <w:rPr>
          <w:rFonts w:ascii="Times New Roman" w:eastAsia="Times New Roman" w:hAnsi="Times New Roman" w:cs="Times New Roman"/>
          <w:kern w:val="0"/>
          <w:sz w:val="28"/>
          <w:szCs w:val="28"/>
          <w:lang w:eastAsia="uk-UA"/>
          <w14:ligatures w14:val="none"/>
        </w:rPr>
        <w:t xml:space="preserve"> суто лінгвістичного (текстуального) значення норми</w:t>
      </w:r>
      <w:r w:rsidR="00B67B55" w:rsidRPr="00D32F25">
        <w:rPr>
          <w:rFonts w:ascii="Times New Roman" w:eastAsia="Times New Roman" w:hAnsi="Times New Roman" w:cs="Times New Roman"/>
          <w:kern w:val="0"/>
          <w:sz w:val="28"/>
          <w:szCs w:val="28"/>
          <w:lang w:eastAsia="uk-UA"/>
          <w14:ligatures w14:val="none"/>
        </w:rPr>
        <w:t xml:space="preserve"> права</w:t>
      </w:r>
      <w:r w:rsidRPr="00D32F25">
        <w:rPr>
          <w:rFonts w:ascii="Times New Roman" w:eastAsia="Times New Roman" w:hAnsi="Times New Roman" w:cs="Times New Roman"/>
          <w:kern w:val="0"/>
          <w:sz w:val="28"/>
          <w:szCs w:val="28"/>
          <w:lang w:eastAsia="uk-UA"/>
          <w14:ligatures w14:val="none"/>
        </w:rPr>
        <w:t xml:space="preserve">, ідентифікувати </w:t>
      </w:r>
      <w:r w:rsidR="00B67B55" w:rsidRPr="00D32F25">
        <w:rPr>
          <w:rFonts w:ascii="Times New Roman" w:eastAsia="Times New Roman" w:hAnsi="Times New Roman" w:cs="Times New Roman"/>
          <w:kern w:val="0"/>
          <w:sz w:val="28"/>
          <w:szCs w:val="28"/>
          <w:lang w:eastAsia="uk-UA"/>
          <w14:ligatures w14:val="none"/>
        </w:rPr>
        <w:t>реальні суспільні</w:t>
      </w:r>
      <w:r w:rsidRPr="00D32F25">
        <w:rPr>
          <w:rFonts w:ascii="Times New Roman" w:eastAsia="Times New Roman" w:hAnsi="Times New Roman" w:cs="Times New Roman"/>
          <w:kern w:val="0"/>
          <w:sz w:val="28"/>
          <w:szCs w:val="28"/>
          <w:lang w:eastAsia="uk-UA"/>
          <w14:ligatures w14:val="none"/>
        </w:rPr>
        <w:t xml:space="preserve"> проблеми, на вирішення яких спрямований </w:t>
      </w:r>
      <w:r w:rsidR="001C02A7" w:rsidRPr="00D32F25">
        <w:rPr>
          <w:rFonts w:ascii="Times New Roman" w:eastAsia="Times New Roman" w:hAnsi="Times New Roman" w:cs="Times New Roman"/>
          <w:kern w:val="0"/>
          <w:sz w:val="28"/>
          <w:szCs w:val="28"/>
          <w:lang w:eastAsia="uk-UA"/>
          <w14:ligatures w14:val="none"/>
        </w:rPr>
        <w:t xml:space="preserve">відповідний </w:t>
      </w:r>
      <w:r w:rsidRPr="00D32F25">
        <w:rPr>
          <w:rFonts w:ascii="Times New Roman" w:eastAsia="Times New Roman" w:hAnsi="Times New Roman" w:cs="Times New Roman"/>
          <w:kern w:val="0"/>
          <w:sz w:val="28"/>
          <w:szCs w:val="28"/>
          <w:lang w:eastAsia="uk-UA"/>
          <w14:ligatures w14:val="none"/>
        </w:rPr>
        <w:t xml:space="preserve">акт, та зрозуміти соціально-політичні й економічні цілі, що стояли перед </w:t>
      </w:r>
      <w:r w:rsidR="001C02A7" w:rsidRPr="00D32F25">
        <w:rPr>
          <w:rFonts w:ascii="Times New Roman" w:eastAsia="Times New Roman" w:hAnsi="Times New Roman" w:cs="Times New Roman"/>
          <w:kern w:val="0"/>
          <w:sz w:val="28"/>
          <w:szCs w:val="28"/>
          <w:lang w:eastAsia="uk-UA"/>
          <w14:ligatures w14:val="none"/>
        </w:rPr>
        <w:t>суб’єкт</w:t>
      </w:r>
      <w:r w:rsidR="00D461C2">
        <w:rPr>
          <w:rFonts w:ascii="Times New Roman" w:eastAsia="Times New Roman" w:hAnsi="Times New Roman" w:cs="Times New Roman"/>
          <w:kern w:val="0"/>
          <w:sz w:val="28"/>
          <w:szCs w:val="28"/>
          <w:lang w:eastAsia="uk-UA"/>
          <w14:ligatures w14:val="none"/>
        </w:rPr>
        <w:t>ом</w:t>
      </w:r>
      <w:r w:rsidR="001C02A7" w:rsidRPr="00D32F25">
        <w:rPr>
          <w:rFonts w:ascii="Times New Roman" w:eastAsia="Times New Roman" w:hAnsi="Times New Roman" w:cs="Times New Roman"/>
          <w:kern w:val="0"/>
          <w:sz w:val="28"/>
          <w:szCs w:val="28"/>
          <w:lang w:eastAsia="uk-UA"/>
          <w14:ligatures w14:val="none"/>
        </w:rPr>
        <w:t xml:space="preserve"> нормотворення</w:t>
      </w:r>
      <w:r w:rsidRPr="00D32F25">
        <w:rPr>
          <w:rFonts w:ascii="Times New Roman" w:eastAsia="Times New Roman" w:hAnsi="Times New Roman" w:cs="Times New Roman"/>
          <w:kern w:val="0"/>
          <w:sz w:val="28"/>
          <w:szCs w:val="28"/>
          <w:lang w:eastAsia="uk-UA"/>
          <w14:ligatures w14:val="none"/>
        </w:rPr>
        <w:t xml:space="preserve">. Автором обґрунтовано, що саме такий підхід сприяє </w:t>
      </w:r>
      <w:r w:rsidR="00873162" w:rsidRPr="00D32F25">
        <w:rPr>
          <w:rFonts w:ascii="Times New Roman" w:hAnsi="Times New Roman" w:cs="Times New Roman"/>
          <w:sz w:val="28"/>
          <w:szCs w:val="28"/>
        </w:rPr>
        <w:t>подоланн</w:t>
      </w:r>
      <w:r w:rsidR="002C6BE8" w:rsidRPr="00D32F25">
        <w:rPr>
          <w:rFonts w:ascii="Times New Roman" w:hAnsi="Times New Roman" w:cs="Times New Roman"/>
          <w:sz w:val="28"/>
          <w:szCs w:val="28"/>
        </w:rPr>
        <w:t>ю</w:t>
      </w:r>
      <w:r w:rsidR="00873162" w:rsidRPr="00D32F25">
        <w:rPr>
          <w:rFonts w:ascii="Times New Roman" w:hAnsi="Times New Roman" w:cs="Times New Roman"/>
          <w:sz w:val="28"/>
          <w:szCs w:val="28"/>
        </w:rPr>
        <w:t xml:space="preserve"> прогалин</w:t>
      </w:r>
      <w:r w:rsidR="00954515" w:rsidRPr="00D32F25">
        <w:rPr>
          <w:rFonts w:ascii="Times New Roman" w:hAnsi="Times New Roman" w:cs="Times New Roman"/>
          <w:sz w:val="28"/>
          <w:szCs w:val="28"/>
        </w:rPr>
        <w:t xml:space="preserve"> та</w:t>
      </w:r>
      <w:r w:rsidR="00873162" w:rsidRPr="00D32F25">
        <w:rPr>
          <w:rFonts w:ascii="Times New Roman" w:hAnsi="Times New Roman" w:cs="Times New Roman"/>
          <w:sz w:val="28"/>
          <w:szCs w:val="28"/>
        </w:rPr>
        <w:t xml:space="preserve"> вирішенн</w:t>
      </w:r>
      <w:r w:rsidR="003078D0">
        <w:rPr>
          <w:rFonts w:ascii="Times New Roman" w:hAnsi="Times New Roman" w:cs="Times New Roman"/>
          <w:sz w:val="28"/>
          <w:szCs w:val="28"/>
        </w:rPr>
        <w:t>ю</w:t>
      </w:r>
      <w:r w:rsidR="00873162" w:rsidRPr="00D32F25">
        <w:rPr>
          <w:rFonts w:ascii="Times New Roman" w:hAnsi="Times New Roman" w:cs="Times New Roman"/>
          <w:sz w:val="28"/>
          <w:szCs w:val="28"/>
        </w:rPr>
        <w:t xml:space="preserve"> колізій </w:t>
      </w:r>
      <w:r w:rsidR="00954515" w:rsidRPr="00D32F25">
        <w:rPr>
          <w:rFonts w:ascii="Times New Roman" w:hAnsi="Times New Roman" w:cs="Times New Roman"/>
          <w:sz w:val="28"/>
          <w:szCs w:val="28"/>
        </w:rPr>
        <w:t xml:space="preserve">через </w:t>
      </w:r>
      <w:r w:rsidRPr="00D32F25">
        <w:rPr>
          <w:rFonts w:ascii="Times New Roman" w:eastAsia="Times New Roman" w:hAnsi="Times New Roman" w:cs="Times New Roman"/>
          <w:kern w:val="0"/>
          <w:sz w:val="28"/>
          <w:szCs w:val="28"/>
          <w:lang w:eastAsia="uk-UA"/>
          <w14:ligatures w14:val="none"/>
        </w:rPr>
        <w:t>тлумаченн</w:t>
      </w:r>
      <w:r w:rsidR="00B67B55" w:rsidRPr="00D32F25">
        <w:rPr>
          <w:rFonts w:ascii="Times New Roman" w:eastAsia="Times New Roman" w:hAnsi="Times New Roman" w:cs="Times New Roman"/>
          <w:kern w:val="0"/>
          <w:sz w:val="28"/>
          <w:szCs w:val="28"/>
          <w:lang w:eastAsia="uk-UA"/>
          <w14:ligatures w14:val="none"/>
        </w:rPr>
        <w:t>я</w:t>
      </w:r>
      <w:r w:rsidRPr="00D32F25">
        <w:rPr>
          <w:rFonts w:ascii="Times New Roman" w:eastAsia="Times New Roman" w:hAnsi="Times New Roman" w:cs="Times New Roman"/>
          <w:kern w:val="0"/>
          <w:sz w:val="28"/>
          <w:szCs w:val="28"/>
          <w:lang w:eastAsia="uk-UA"/>
          <w14:ligatures w14:val="none"/>
        </w:rPr>
        <w:t xml:space="preserve"> норм</w:t>
      </w:r>
      <w:r w:rsidR="00B67B55" w:rsidRPr="00D32F25">
        <w:rPr>
          <w:rFonts w:ascii="Times New Roman" w:eastAsia="Times New Roman" w:hAnsi="Times New Roman" w:cs="Times New Roman"/>
          <w:kern w:val="0"/>
          <w:sz w:val="28"/>
          <w:szCs w:val="28"/>
          <w:lang w:eastAsia="uk-UA"/>
          <w14:ligatures w14:val="none"/>
        </w:rPr>
        <w:t xml:space="preserve"> права</w:t>
      </w:r>
      <w:r w:rsidRPr="00D32F25">
        <w:rPr>
          <w:rFonts w:ascii="Times New Roman" w:eastAsia="Times New Roman" w:hAnsi="Times New Roman" w:cs="Times New Roman"/>
          <w:kern w:val="0"/>
          <w:sz w:val="28"/>
          <w:szCs w:val="28"/>
          <w:lang w:eastAsia="uk-UA"/>
          <w14:ligatures w14:val="none"/>
        </w:rPr>
        <w:t>.</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lastRenderedPageBreak/>
        <w:t>Окреме місце у роботі відведено аналізу судової практики, на підставі якого зроблено висновок про сталу тенденцію до використання Конституційним Судом України та Верховним Судом підготовчих матеріалів з метою тлумачення норм</w:t>
      </w:r>
      <w:r w:rsidR="00D27DE6" w:rsidRPr="00D32F25">
        <w:rPr>
          <w:rFonts w:ascii="Times New Roman" w:eastAsia="Times New Roman" w:hAnsi="Times New Roman" w:cs="Times New Roman"/>
          <w:kern w:val="0"/>
          <w:sz w:val="28"/>
          <w:szCs w:val="28"/>
          <w:lang w:eastAsia="uk-UA"/>
          <w14:ligatures w14:val="none"/>
        </w:rPr>
        <w:t xml:space="preserve"> на підставі концепції </w:t>
      </w:r>
      <w:r w:rsidRPr="00D32F25">
        <w:rPr>
          <w:rFonts w:ascii="Times New Roman" w:eastAsia="Times New Roman" w:hAnsi="Times New Roman" w:cs="Times New Roman"/>
          <w:kern w:val="0"/>
          <w:sz w:val="28"/>
          <w:szCs w:val="28"/>
          <w:lang w:eastAsia="uk-UA"/>
          <w14:ligatures w14:val="none"/>
        </w:rPr>
        <w:t xml:space="preserve">волі </w:t>
      </w:r>
      <w:r w:rsidR="001C02A7" w:rsidRPr="00D32F25">
        <w:rPr>
          <w:rFonts w:ascii="Times New Roman" w:eastAsia="Times New Roman" w:hAnsi="Times New Roman" w:cs="Times New Roman"/>
          <w:kern w:val="0"/>
          <w:sz w:val="28"/>
          <w:szCs w:val="28"/>
          <w:lang w:eastAsia="uk-UA"/>
          <w14:ligatures w14:val="none"/>
        </w:rPr>
        <w:t>суб’єкта нормотворення</w:t>
      </w:r>
      <w:r w:rsidRPr="00D32F25">
        <w:rPr>
          <w:rFonts w:ascii="Times New Roman" w:eastAsia="Times New Roman" w:hAnsi="Times New Roman" w:cs="Times New Roman"/>
          <w:kern w:val="0"/>
          <w:sz w:val="28"/>
          <w:szCs w:val="28"/>
          <w:lang w:eastAsia="uk-UA"/>
          <w14:ligatures w14:val="none"/>
        </w:rPr>
        <w:t xml:space="preserve">. </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 xml:space="preserve">На основі компаративного аналізу практики Європейського суду з прав людини аргументована значущість використання підготовчих матеріалів для належного тлумачення норм права, що сприяє гармонізації правозастосування. </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У статті також надається оцінка ризиків надмірно</w:t>
      </w:r>
      <w:r w:rsidR="00597328" w:rsidRPr="00D32F25">
        <w:rPr>
          <w:rFonts w:ascii="Times New Roman" w:eastAsia="Times New Roman" w:hAnsi="Times New Roman" w:cs="Times New Roman"/>
          <w:kern w:val="0"/>
          <w:sz w:val="28"/>
          <w:szCs w:val="28"/>
          <w:lang w:eastAsia="uk-UA"/>
          <w14:ligatures w14:val="none"/>
        </w:rPr>
        <w:t>го</w:t>
      </w:r>
      <w:r w:rsidRPr="00D32F25">
        <w:rPr>
          <w:rFonts w:ascii="Times New Roman" w:eastAsia="Times New Roman" w:hAnsi="Times New Roman" w:cs="Times New Roman"/>
          <w:kern w:val="0"/>
          <w:sz w:val="28"/>
          <w:szCs w:val="28"/>
          <w:lang w:eastAsia="uk-UA"/>
          <w14:ligatures w14:val="none"/>
        </w:rPr>
        <w:t xml:space="preserve"> суддівсько</w:t>
      </w:r>
      <w:r w:rsidR="00597328" w:rsidRPr="00D32F25">
        <w:rPr>
          <w:rFonts w:ascii="Times New Roman" w:eastAsia="Times New Roman" w:hAnsi="Times New Roman" w:cs="Times New Roman"/>
          <w:kern w:val="0"/>
          <w:sz w:val="28"/>
          <w:szCs w:val="28"/>
          <w:lang w:eastAsia="uk-UA"/>
          <w14:ligatures w14:val="none"/>
        </w:rPr>
        <w:t>го розсуду</w:t>
      </w:r>
      <w:r w:rsidRPr="00D32F25">
        <w:rPr>
          <w:rFonts w:ascii="Times New Roman" w:eastAsia="Times New Roman" w:hAnsi="Times New Roman" w:cs="Times New Roman"/>
          <w:kern w:val="0"/>
          <w:sz w:val="28"/>
          <w:szCs w:val="28"/>
          <w:lang w:eastAsia="uk-UA"/>
          <w14:ligatures w14:val="none"/>
        </w:rPr>
        <w:t xml:space="preserve"> та зловживан</w:t>
      </w:r>
      <w:r w:rsidR="00B67B55" w:rsidRPr="00D32F25">
        <w:rPr>
          <w:rFonts w:ascii="Times New Roman" w:eastAsia="Times New Roman" w:hAnsi="Times New Roman" w:cs="Times New Roman"/>
          <w:kern w:val="0"/>
          <w:sz w:val="28"/>
          <w:szCs w:val="28"/>
          <w:lang w:eastAsia="uk-UA"/>
          <w14:ligatures w14:val="none"/>
        </w:rPr>
        <w:t>ня</w:t>
      </w:r>
      <w:r w:rsidRPr="00D32F25">
        <w:rPr>
          <w:rFonts w:ascii="Times New Roman" w:eastAsia="Times New Roman" w:hAnsi="Times New Roman" w:cs="Times New Roman"/>
          <w:kern w:val="0"/>
          <w:sz w:val="28"/>
          <w:szCs w:val="28"/>
          <w:lang w:eastAsia="uk-UA"/>
          <w14:ligatures w14:val="none"/>
        </w:rPr>
        <w:t xml:space="preserve"> суддівським активізмом, на підставі якої автором визначені критерії</w:t>
      </w:r>
      <w:r w:rsidR="00D27DE6" w:rsidRPr="00D32F25">
        <w:rPr>
          <w:rFonts w:ascii="Times New Roman" w:eastAsia="Times New Roman" w:hAnsi="Times New Roman" w:cs="Times New Roman"/>
          <w:kern w:val="0"/>
          <w:sz w:val="28"/>
          <w:szCs w:val="28"/>
          <w:lang w:eastAsia="uk-UA"/>
          <w14:ligatures w14:val="none"/>
        </w:rPr>
        <w:t xml:space="preserve"> допустимості меж використання </w:t>
      </w:r>
      <w:r w:rsidRPr="00D32F25">
        <w:rPr>
          <w:rFonts w:ascii="Times New Roman" w:eastAsia="Times New Roman" w:hAnsi="Times New Roman" w:cs="Times New Roman"/>
          <w:kern w:val="0"/>
          <w:sz w:val="28"/>
          <w:szCs w:val="28"/>
          <w:lang w:eastAsia="uk-UA"/>
          <w14:ligatures w14:val="none"/>
        </w:rPr>
        <w:t xml:space="preserve">духу закону </w:t>
      </w:r>
      <w:r w:rsidR="00B67B55" w:rsidRPr="00D32F25">
        <w:rPr>
          <w:rFonts w:ascii="Times New Roman" w:eastAsia="Times New Roman" w:hAnsi="Times New Roman" w:cs="Times New Roman"/>
          <w:kern w:val="0"/>
          <w:sz w:val="28"/>
          <w:szCs w:val="28"/>
          <w:lang w:eastAsia="uk-UA"/>
          <w14:ligatures w14:val="none"/>
        </w:rPr>
        <w:t xml:space="preserve">для тлумачення норм права </w:t>
      </w:r>
      <w:r w:rsidRPr="00D32F25">
        <w:rPr>
          <w:rFonts w:ascii="Times New Roman" w:eastAsia="Times New Roman" w:hAnsi="Times New Roman" w:cs="Times New Roman"/>
          <w:kern w:val="0"/>
          <w:sz w:val="28"/>
          <w:szCs w:val="28"/>
          <w:lang w:eastAsia="uk-UA"/>
          <w14:ligatures w14:val="none"/>
        </w:rPr>
        <w:t xml:space="preserve">з урахуванням </w:t>
      </w:r>
      <w:r w:rsidR="00597328" w:rsidRPr="00D32F25">
        <w:rPr>
          <w:rFonts w:ascii="Times New Roman" w:eastAsia="Times New Roman" w:hAnsi="Times New Roman" w:cs="Times New Roman"/>
          <w:kern w:val="0"/>
          <w:sz w:val="28"/>
          <w:szCs w:val="28"/>
          <w:lang w:eastAsia="uk-UA"/>
          <w14:ligatures w14:val="none"/>
        </w:rPr>
        <w:t xml:space="preserve">верховенства права та </w:t>
      </w:r>
      <w:r w:rsidRPr="00D32F25">
        <w:rPr>
          <w:rFonts w:ascii="Times New Roman" w:eastAsia="Times New Roman" w:hAnsi="Times New Roman" w:cs="Times New Roman"/>
          <w:kern w:val="0"/>
          <w:sz w:val="28"/>
          <w:szCs w:val="28"/>
          <w:lang w:eastAsia="uk-UA"/>
          <w14:ligatures w14:val="none"/>
        </w:rPr>
        <w:t>принципу поділу влади. Доведено, що головним з цих критеріїв є забезпечення балансу</w:t>
      </w:r>
      <w:r w:rsidR="00597328" w:rsidRPr="00D32F25">
        <w:rPr>
          <w:rFonts w:ascii="Times New Roman" w:eastAsia="Times New Roman" w:hAnsi="Times New Roman" w:cs="Times New Roman"/>
          <w:kern w:val="0"/>
          <w:sz w:val="28"/>
          <w:szCs w:val="28"/>
          <w:lang w:eastAsia="uk-UA"/>
          <w14:ligatures w14:val="none"/>
        </w:rPr>
        <w:t xml:space="preserve"> між суворим дотриманням </w:t>
      </w:r>
      <w:r w:rsidRPr="00D32F25">
        <w:rPr>
          <w:rFonts w:ascii="Times New Roman" w:eastAsia="Times New Roman" w:hAnsi="Times New Roman" w:cs="Times New Roman"/>
          <w:kern w:val="0"/>
          <w:sz w:val="28"/>
          <w:szCs w:val="28"/>
          <w:lang w:eastAsia="uk-UA"/>
          <w14:ligatures w14:val="none"/>
        </w:rPr>
        <w:t>букви закону та розумінням його дійсної, актуальної мети в конкретних історичних умовах.</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i/>
          <w:iCs/>
          <w:kern w:val="0"/>
          <w:sz w:val="28"/>
          <w:szCs w:val="28"/>
          <w:lang w:eastAsia="uk-UA"/>
          <w14:ligatures w14:val="none"/>
        </w:rPr>
        <w:t>Ключові слова</w:t>
      </w:r>
      <w:r w:rsidRPr="00D32F25">
        <w:rPr>
          <w:rFonts w:ascii="Times New Roman" w:eastAsia="Times New Roman" w:hAnsi="Times New Roman" w:cs="Times New Roman"/>
          <w:kern w:val="0"/>
          <w:sz w:val="28"/>
          <w:szCs w:val="28"/>
          <w:lang w:eastAsia="uk-UA"/>
          <w14:ligatures w14:val="none"/>
        </w:rPr>
        <w:t>: т</w:t>
      </w:r>
      <w:r w:rsidRPr="00D32F25">
        <w:rPr>
          <w:rFonts w:ascii="Times New Roman" w:hAnsi="Times New Roman" w:cs="Times New Roman"/>
          <w:sz w:val="28"/>
          <w:szCs w:val="28"/>
        </w:rPr>
        <w:t xml:space="preserve">лумачення закону; </w:t>
      </w:r>
      <w:r w:rsidRPr="00D32F25">
        <w:rPr>
          <w:rFonts w:ascii="Times New Roman" w:eastAsia="Times New Roman" w:hAnsi="Times New Roman" w:cs="Times New Roman"/>
          <w:kern w:val="0"/>
          <w:sz w:val="28"/>
          <w:szCs w:val="28"/>
          <w:lang w:eastAsia="uk-UA"/>
          <w14:ligatures w14:val="none"/>
        </w:rPr>
        <w:t xml:space="preserve">телеологічне тлумачення; </w:t>
      </w:r>
      <w:r w:rsidRPr="00D32F25">
        <w:rPr>
          <w:rFonts w:ascii="Times New Roman" w:hAnsi="Times New Roman" w:cs="Times New Roman"/>
          <w:sz w:val="28"/>
          <w:szCs w:val="28"/>
        </w:rPr>
        <w:t>в</w:t>
      </w:r>
      <w:r w:rsidRPr="00D32F25">
        <w:rPr>
          <w:rFonts w:ascii="Times New Roman" w:eastAsia="Times New Roman" w:hAnsi="Times New Roman" w:cs="Times New Roman"/>
          <w:kern w:val="0"/>
          <w:sz w:val="28"/>
          <w:szCs w:val="28"/>
          <w:lang w:eastAsia="uk-UA"/>
          <w14:ligatures w14:val="none"/>
        </w:rPr>
        <w:t xml:space="preserve">оля </w:t>
      </w:r>
      <w:r w:rsidR="001C02A7" w:rsidRPr="00D32F25">
        <w:rPr>
          <w:rFonts w:ascii="Times New Roman" w:eastAsia="Times New Roman" w:hAnsi="Times New Roman" w:cs="Times New Roman"/>
          <w:kern w:val="0"/>
          <w:sz w:val="28"/>
          <w:szCs w:val="28"/>
          <w:lang w:eastAsia="uk-UA"/>
          <w14:ligatures w14:val="none"/>
        </w:rPr>
        <w:t>суб’єкта нормотворення</w:t>
      </w:r>
      <w:r w:rsidRPr="00D32F25">
        <w:rPr>
          <w:rFonts w:ascii="Times New Roman" w:eastAsia="Times New Roman" w:hAnsi="Times New Roman" w:cs="Times New Roman"/>
          <w:kern w:val="0"/>
          <w:sz w:val="28"/>
          <w:szCs w:val="28"/>
          <w:lang w:eastAsia="uk-UA"/>
          <w14:ligatures w14:val="none"/>
        </w:rPr>
        <w:t xml:space="preserve">; дух і буква закону; верховенство права; правова визначеність; прогалини </w:t>
      </w:r>
      <w:r w:rsidR="00917CDF" w:rsidRPr="00D32F25">
        <w:rPr>
          <w:rFonts w:ascii="Times New Roman" w:eastAsia="Times New Roman" w:hAnsi="Times New Roman" w:cs="Times New Roman"/>
          <w:kern w:val="0"/>
          <w:sz w:val="28"/>
          <w:szCs w:val="28"/>
          <w:lang w:eastAsia="uk-UA"/>
          <w14:ligatures w14:val="none"/>
        </w:rPr>
        <w:t xml:space="preserve">та колізії </w:t>
      </w:r>
      <w:r w:rsidRPr="00D32F25">
        <w:rPr>
          <w:rFonts w:ascii="Times New Roman" w:eastAsia="Times New Roman" w:hAnsi="Times New Roman" w:cs="Times New Roman"/>
          <w:kern w:val="0"/>
          <w:sz w:val="28"/>
          <w:szCs w:val="28"/>
          <w:lang w:eastAsia="uk-UA"/>
          <w14:ligatures w14:val="none"/>
        </w:rPr>
        <w:t>в законодавстві; судова практика</w:t>
      </w:r>
      <w:r w:rsidR="00917CDF" w:rsidRPr="00D32F25">
        <w:rPr>
          <w:rFonts w:ascii="Times New Roman" w:eastAsia="Times New Roman" w:hAnsi="Times New Roman" w:cs="Times New Roman"/>
          <w:kern w:val="0"/>
          <w:sz w:val="28"/>
          <w:szCs w:val="28"/>
          <w:lang w:eastAsia="uk-UA"/>
          <w14:ligatures w14:val="none"/>
        </w:rPr>
        <w:t>; підготовчі матеріали законопроєкту.</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eastAsia="uk-UA"/>
          <w14:ligatures w14:val="none"/>
        </w:rPr>
      </w:pPr>
    </w:p>
    <w:p w:rsidR="008513B9" w:rsidRPr="00D32F25" w:rsidRDefault="000649EC" w:rsidP="000649EC">
      <w:pPr>
        <w:tabs>
          <w:tab w:val="left" w:pos="1134"/>
        </w:tabs>
        <w:spacing w:after="0" w:line="360" w:lineRule="auto"/>
        <w:ind w:firstLine="567"/>
        <w:jc w:val="center"/>
        <w:rPr>
          <w:rFonts w:ascii="Times New Roman" w:eastAsia="Times New Roman" w:hAnsi="Times New Roman" w:cs="Times New Roman"/>
          <w:b/>
          <w:bCs/>
          <w:kern w:val="0"/>
          <w:sz w:val="28"/>
          <w:szCs w:val="28"/>
          <w:lang w:eastAsia="uk-UA"/>
          <w14:ligatures w14:val="none"/>
        </w:rPr>
      </w:pPr>
      <w:r w:rsidRPr="000649EC">
        <w:rPr>
          <w:rFonts w:ascii="Times New Roman" w:eastAsia="Times New Roman" w:hAnsi="Times New Roman" w:cs="Times New Roman"/>
          <w:b/>
          <w:bCs/>
          <w:kern w:val="0"/>
          <w:sz w:val="28"/>
          <w:szCs w:val="28"/>
          <w:lang w:eastAsia="uk-UA"/>
          <w14:ligatures w14:val="none"/>
        </w:rPr>
        <w:t>INTERPRETATION OF LAW THROUGH THE CLARIFICATION OF LEGISLATIVE INTENT:</w:t>
      </w:r>
      <w:r>
        <w:rPr>
          <w:rFonts w:ascii="Times New Roman" w:eastAsia="Times New Roman" w:hAnsi="Times New Roman" w:cs="Times New Roman"/>
          <w:b/>
          <w:bCs/>
          <w:kern w:val="0"/>
          <w:sz w:val="28"/>
          <w:szCs w:val="28"/>
          <w:lang w:eastAsia="uk-UA"/>
          <w14:ligatures w14:val="none"/>
        </w:rPr>
        <w:t xml:space="preserve"> </w:t>
      </w:r>
      <w:r w:rsidRPr="000649EC">
        <w:rPr>
          <w:rFonts w:ascii="Times New Roman" w:eastAsia="Times New Roman" w:hAnsi="Times New Roman" w:cs="Times New Roman"/>
          <w:b/>
          <w:bCs/>
          <w:kern w:val="0"/>
          <w:sz w:val="28"/>
          <w:szCs w:val="28"/>
          <w:lang w:eastAsia="uk-UA"/>
          <w14:ligatures w14:val="none"/>
        </w:rPr>
        <w:t>THE RELATIONSHIP BETWEEN THE SPIRIT AND THE LETTER OF THE LAW IN THE CONTEXT OF THE RULE OF LAW</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eastAsia="uk-UA"/>
          <w14:ligatures w14:val="none"/>
        </w:rPr>
      </w:pP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D32F25">
        <w:rPr>
          <w:rFonts w:ascii="Times New Roman" w:eastAsia="Times New Roman" w:hAnsi="Times New Roman" w:cs="Times New Roman"/>
          <w:kern w:val="0"/>
          <w:sz w:val="28"/>
          <w:szCs w:val="28"/>
          <w:lang w:val="en-US" w:eastAsia="uk-UA"/>
          <w14:ligatures w14:val="none"/>
        </w:rPr>
        <w:t xml:space="preserve">The article is devoted to a comprehensive analysis of the approach to the interpretation of legal norms through the clarification of the </w:t>
      </w:r>
      <w:r w:rsidR="00D32F25" w:rsidRPr="00D32F25">
        <w:rPr>
          <w:rFonts w:ascii="Times New Roman" w:eastAsia="Times New Roman" w:hAnsi="Times New Roman" w:cs="Times New Roman"/>
          <w:kern w:val="0"/>
          <w:sz w:val="28"/>
          <w:szCs w:val="28"/>
          <w:lang w:val="en-US" w:eastAsia="uk-UA"/>
          <w14:ligatures w14:val="none"/>
        </w:rPr>
        <w:t>legislative intent</w:t>
      </w:r>
      <w:r w:rsidR="00D32F25">
        <w:rPr>
          <w:rFonts w:ascii="Times New Roman" w:eastAsia="Times New Roman" w:hAnsi="Times New Roman" w:cs="Times New Roman"/>
          <w:kern w:val="0"/>
          <w:sz w:val="28"/>
          <w:szCs w:val="28"/>
          <w:lang w:eastAsia="uk-UA"/>
          <w14:ligatures w14:val="none"/>
        </w:rPr>
        <w:t xml:space="preserve"> </w:t>
      </w:r>
      <w:r w:rsidRPr="00D32F25">
        <w:rPr>
          <w:rFonts w:ascii="Times New Roman" w:eastAsia="Times New Roman" w:hAnsi="Times New Roman" w:cs="Times New Roman"/>
          <w:kern w:val="0"/>
          <w:sz w:val="28"/>
          <w:szCs w:val="28"/>
          <w:lang w:val="en-US" w:eastAsia="uk-UA"/>
          <w14:ligatures w14:val="none"/>
        </w:rPr>
        <w:t xml:space="preserve">as a tool for overcoming gaps and contradictions in the current legislation. </w:t>
      </w:r>
      <w:r w:rsidR="00A1153D" w:rsidRPr="00D32F25">
        <w:rPr>
          <w:rFonts w:ascii="Times New Roman" w:eastAsia="Times New Roman" w:hAnsi="Times New Roman" w:cs="Times New Roman"/>
          <w:kern w:val="0"/>
          <w:sz w:val="28"/>
          <w:szCs w:val="28"/>
          <w:lang w:val="en-US" w:eastAsia="uk-UA"/>
          <w14:ligatures w14:val="none"/>
        </w:rPr>
        <w:t>For the purposes of this study, the term ‘</w:t>
      </w:r>
      <w:r w:rsidR="00D32F25" w:rsidRPr="00D32F25">
        <w:rPr>
          <w:rFonts w:ascii="Times New Roman" w:eastAsia="Times New Roman" w:hAnsi="Times New Roman" w:cs="Times New Roman"/>
          <w:kern w:val="0"/>
          <w:sz w:val="28"/>
          <w:szCs w:val="28"/>
          <w:lang w:val="en-US" w:eastAsia="uk-UA"/>
          <w14:ligatures w14:val="none"/>
        </w:rPr>
        <w:t>legislative intent</w:t>
      </w:r>
      <w:r w:rsidR="00A1153D" w:rsidRPr="00D32F25">
        <w:rPr>
          <w:rFonts w:ascii="Times New Roman" w:eastAsia="Times New Roman" w:hAnsi="Times New Roman" w:cs="Times New Roman"/>
          <w:kern w:val="0"/>
          <w:sz w:val="28"/>
          <w:szCs w:val="28"/>
          <w:lang w:val="en-US" w:eastAsia="uk-UA"/>
          <w14:ligatures w14:val="none"/>
        </w:rPr>
        <w:t xml:space="preserve">’ </w:t>
      </w:r>
      <w:proofErr w:type="gramStart"/>
      <w:r w:rsidR="00A1153D" w:rsidRPr="00D32F25">
        <w:rPr>
          <w:rFonts w:ascii="Times New Roman" w:eastAsia="Times New Roman" w:hAnsi="Times New Roman" w:cs="Times New Roman"/>
          <w:kern w:val="0"/>
          <w:sz w:val="28"/>
          <w:szCs w:val="28"/>
          <w:lang w:val="en-US" w:eastAsia="uk-UA"/>
          <w14:ligatures w14:val="none"/>
        </w:rPr>
        <w:t>is used</w:t>
      </w:r>
      <w:proofErr w:type="gramEnd"/>
      <w:r w:rsidR="00A1153D" w:rsidRPr="00D32F25">
        <w:rPr>
          <w:rFonts w:ascii="Times New Roman" w:eastAsia="Times New Roman" w:hAnsi="Times New Roman" w:cs="Times New Roman"/>
          <w:kern w:val="0"/>
          <w:sz w:val="28"/>
          <w:szCs w:val="28"/>
          <w:lang w:val="en-US" w:eastAsia="uk-UA"/>
          <w14:ligatures w14:val="none"/>
        </w:rPr>
        <w:t xml:space="preserve"> in a broad sense, encompassing the actual intention of any competent rule-making authority (both legislative and executive branches) during the development and adoption of a regulatory act. </w:t>
      </w:r>
      <w:r w:rsidRPr="00D32F25">
        <w:rPr>
          <w:rFonts w:ascii="Times New Roman" w:eastAsia="Times New Roman" w:hAnsi="Times New Roman" w:cs="Times New Roman"/>
          <w:kern w:val="0"/>
          <w:sz w:val="28"/>
          <w:szCs w:val="28"/>
          <w:lang w:val="en-US" w:eastAsia="uk-UA"/>
          <w14:ligatures w14:val="none"/>
        </w:rPr>
        <w:t xml:space="preserve">Particular attention is paid to the study of the relationship between the “spirit” and the “letter” of the law in the </w:t>
      </w:r>
      <w:r w:rsidRPr="00D32F25">
        <w:rPr>
          <w:rFonts w:ascii="Times New Roman" w:eastAsia="Times New Roman" w:hAnsi="Times New Roman" w:cs="Times New Roman"/>
          <w:kern w:val="0"/>
          <w:sz w:val="28"/>
          <w:szCs w:val="28"/>
          <w:lang w:val="en-US" w:eastAsia="uk-UA"/>
          <w14:ligatures w14:val="none"/>
        </w:rPr>
        <w:lastRenderedPageBreak/>
        <w:t>context of establishing the rule of law and ensuring justice, especially in conditions of dynamic social transformations and crisis phenomena.</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proofErr w:type="gramStart"/>
      <w:r w:rsidRPr="00D32F25">
        <w:rPr>
          <w:rFonts w:ascii="Times New Roman" w:eastAsia="Times New Roman" w:hAnsi="Times New Roman" w:cs="Times New Roman"/>
          <w:kern w:val="0"/>
          <w:sz w:val="28"/>
          <w:szCs w:val="28"/>
          <w:lang w:val="en-US" w:eastAsia="uk-UA"/>
          <w14:ligatures w14:val="none"/>
        </w:rPr>
        <w:t xml:space="preserve">The author reveals the essence of the concept of the </w:t>
      </w:r>
      <w:r w:rsidR="00D32F25" w:rsidRPr="00D32F25">
        <w:rPr>
          <w:rFonts w:ascii="Times New Roman" w:eastAsia="Times New Roman" w:hAnsi="Times New Roman" w:cs="Times New Roman"/>
          <w:kern w:val="0"/>
          <w:sz w:val="28"/>
          <w:szCs w:val="28"/>
          <w:lang w:val="en-US" w:eastAsia="uk-UA"/>
          <w14:ligatures w14:val="none"/>
        </w:rPr>
        <w:t>legislative intent</w:t>
      </w:r>
      <w:r w:rsidR="00D32F25">
        <w:rPr>
          <w:rFonts w:ascii="Times New Roman" w:eastAsia="Times New Roman" w:hAnsi="Times New Roman" w:cs="Times New Roman"/>
          <w:kern w:val="0"/>
          <w:sz w:val="28"/>
          <w:szCs w:val="28"/>
          <w:lang w:eastAsia="uk-UA"/>
          <w14:ligatures w14:val="none"/>
        </w:rPr>
        <w:t xml:space="preserve"> </w:t>
      </w:r>
      <w:r w:rsidRPr="00D32F25">
        <w:rPr>
          <w:rFonts w:ascii="Times New Roman" w:eastAsia="Times New Roman" w:hAnsi="Times New Roman" w:cs="Times New Roman"/>
          <w:kern w:val="0"/>
          <w:sz w:val="28"/>
          <w:szCs w:val="28"/>
          <w:lang w:val="en-US" w:eastAsia="uk-UA"/>
          <w14:ligatures w14:val="none"/>
        </w:rPr>
        <w:t xml:space="preserve">and analyzes the tools for its identification, in particular by taking into account the content of preparatory materials for draft laws, explanatory notes, transcripts of parliamentary debates, conclusions of profile committees and preambles of regulatory acts, which are considered as key sources for reconstructing the historical context of the adoption of a regulatory act and clarifying the true </w:t>
      </w:r>
      <w:r w:rsidR="00D32F25" w:rsidRPr="00D32F25">
        <w:rPr>
          <w:rFonts w:ascii="Times New Roman" w:eastAsia="Times New Roman" w:hAnsi="Times New Roman" w:cs="Times New Roman"/>
          <w:kern w:val="0"/>
          <w:sz w:val="28"/>
          <w:szCs w:val="28"/>
          <w:lang w:val="en-US" w:eastAsia="uk-UA"/>
          <w14:ligatures w14:val="none"/>
        </w:rPr>
        <w:t>legislative intent</w:t>
      </w:r>
      <w:r w:rsidRPr="00D32F25">
        <w:rPr>
          <w:rFonts w:ascii="Times New Roman" w:eastAsia="Times New Roman" w:hAnsi="Times New Roman" w:cs="Times New Roman"/>
          <w:kern w:val="0"/>
          <w:sz w:val="28"/>
          <w:szCs w:val="28"/>
          <w:lang w:val="en-US" w:eastAsia="uk-UA"/>
          <w14:ligatures w14:val="none"/>
        </w:rPr>
        <w:t xml:space="preserve"> – the “spirit of the law”.</w:t>
      </w:r>
      <w:proofErr w:type="gramEnd"/>
      <w:r w:rsidRPr="00D32F25">
        <w:rPr>
          <w:rFonts w:ascii="Times New Roman" w:eastAsia="Times New Roman" w:hAnsi="Times New Roman" w:cs="Times New Roman"/>
          <w:kern w:val="0"/>
          <w:sz w:val="28"/>
          <w:szCs w:val="28"/>
          <w:lang w:val="en-US" w:eastAsia="uk-UA"/>
          <w14:ligatures w14:val="none"/>
        </w:rPr>
        <w:t xml:space="preserve"> The article proves that a systematic analysis of these documents allows us to go beyond the purely linguistic (textual) meaning of a legal norm, to identify social problems that the legal act is aimed at solving, and to understand the deep socio-political and economic goals that the legislator had. The author substantiates that it is this approach that contributes to the elimination of legislative gaps, the resolution of conflicts and the interpretation of norms with terminological ambiguity.</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D32F25">
        <w:rPr>
          <w:rFonts w:ascii="Times New Roman" w:eastAsia="Times New Roman" w:hAnsi="Times New Roman" w:cs="Times New Roman"/>
          <w:kern w:val="0"/>
          <w:sz w:val="28"/>
          <w:szCs w:val="28"/>
          <w:lang w:val="en-US" w:eastAsia="uk-UA"/>
          <w14:ligatures w14:val="none"/>
        </w:rPr>
        <w:t xml:space="preserve">A separate place in the work is devoted to the analysis of judicial practice, </w:t>
      </w:r>
      <w:proofErr w:type="gramStart"/>
      <w:r w:rsidRPr="00D32F25">
        <w:rPr>
          <w:rFonts w:ascii="Times New Roman" w:eastAsia="Times New Roman" w:hAnsi="Times New Roman" w:cs="Times New Roman"/>
          <w:kern w:val="0"/>
          <w:sz w:val="28"/>
          <w:szCs w:val="28"/>
          <w:lang w:val="en-US" w:eastAsia="uk-UA"/>
          <w14:ligatures w14:val="none"/>
        </w:rPr>
        <w:t>on the basis of</w:t>
      </w:r>
      <w:proofErr w:type="gramEnd"/>
      <w:r w:rsidRPr="00D32F25">
        <w:rPr>
          <w:rFonts w:ascii="Times New Roman" w:eastAsia="Times New Roman" w:hAnsi="Times New Roman" w:cs="Times New Roman"/>
          <w:kern w:val="0"/>
          <w:sz w:val="28"/>
          <w:szCs w:val="28"/>
          <w:lang w:val="en-US" w:eastAsia="uk-UA"/>
          <w14:ligatures w14:val="none"/>
        </w:rPr>
        <w:t xml:space="preserve"> which a conclusion is made about a constant tendency for the Constitutional Court of Ukraine and the Supreme Court to use preparatory materials for the purpose of interpreting norms based on the concept of "</w:t>
      </w:r>
      <w:r w:rsidR="00D32F25" w:rsidRPr="00D32F25">
        <w:rPr>
          <w:rFonts w:ascii="Times New Roman" w:eastAsia="Times New Roman" w:hAnsi="Times New Roman" w:cs="Times New Roman"/>
          <w:kern w:val="0"/>
          <w:sz w:val="28"/>
          <w:szCs w:val="28"/>
          <w:lang w:val="en-US" w:eastAsia="uk-UA"/>
          <w14:ligatures w14:val="none"/>
        </w:rPr>
        <w:t>legislative intent</w:t>
      </w:r>
      <w:r w:rsidRPr="00D32F25">
        <w:rPr>
          <w:rFonts w:ascii="Times New Roman" w:eastAsia="Times New Roman" w:hAnsi="Times New Roman" w:cs="Times New Roman"/>
          <w:kern w:val="0"/>
          <w:sz w:val="28"/>
          <w:szCs w:val="28"/>
          <w:lang w:val="en-US" w:eastAsia="uk-UA"/>
          <w14:ligatures w14:val="none"/>
        </w:rPr>
        <w:t>".</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D32F25">
        <w:rPr>
          <w:rFonts w:ascii="Times New Roman" w:eastAsia="Times New Roman" w:hAnsi="Times New Roman" w:cs="Times New Roman"/>
          <w:kern w:val="0"/>
          <w:sz w:val="28"/>
          <w:szCs w:val="28"/>
          <w:lang w:val="en-US" w:eastAsia="uk-UA"/>
          <w14:ligatures w14:val="none"/>
        </w:rPr>
        <w:t xml:space="preserve">Based on a comparative analysis of the practice of the European Court of Human Rights, the importance of using preparatory materials for the proper interpretation of legal norms </w:t>
      </w:r>
      <w:proofErr w:type="gramStart"/>
      <w:r w:rsidRPr="00D32F25">
        <w:rPr>
          <w:rFonts w:ascii="Times New Roman" w:eastAsia="Times New Roman" w:hAnsi="Times New Roman" w:cs="Times New Roman"/>
          <w:kern w:val="0"/>
          <w:sz w:val="28"/>
          <w:szCs w:val="28"/>
          <w:lang w:val="en-US" w:eastAsia="uk-UA"/>
          <w14:ligatures w14:val="none"/>
        </w:rPr>
        <w:t>is argued</w:t>
      </w:r>
      <w:proofErr w:type="gramEnd"/>
      <w:r w:rsidRPr="00D32F25">
        <w:rPr>
          <w:rFonts w:ascii="Times New Roman" w:eastAsia="Times New Roman" w:hAnsi="Times New Roman" w:cs="Times New Roman"/>
          <w:kern w:val="0"/>
          <w:sz w:val="28"/>
          <w:szCs w:val="28"/>
          <w:lang w:val="en-US" w:eastAsia="uk-UA"/>
          <w14:ligatures w14:val="none"/>
        </w:rPr>
        <w:t>, which contributes to the harmonization of law enforcement and the prevention of excessive formalism.</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D32F25">
        <w:rPr>
          <w:rFonts w:ascii="Times New Roman" w:eastAsia="Times New Roman" w:hAnsi="Times New Roman" w:cs="Times New Roman"/>
          <w:kern w:val="0"/>
          <w:sz w:val="28"/>
          <w:szCs w:val="28"/>
          <w:lang w:val="en-US" w:eastAsia="uk-UA"/>
          <w14:ligatures w14:val="none"/>
        </w:rPr>
        <w:t xml:space="preserve">The article also provides an assessment of the risks of excessive judicial discretion and abuse of judicial activism, </w:t>
      </w:r>
      <w:proofErr w:type="gramStart"/>
      <w:r w:rsidRPr="00D32F25">
        <w:rPr>
          <w:rFonts w:ascii="Times New Roman" w:eastAsia="Times New Roman" w:hAnsi="Times New Roman" w:cs="Times New Roman"/>
          <w:kern w:val="0"/>
          <w:sz w:val="28"/>
          <w:szCs w:val="28"/>
          <w:lang w:val="en-US" w:eastAsia="uk-UA"/>
          <w14:ligatures w14:val="none"/>
        </w:rPr>
        <w:t>on the basis of</w:t>
      </w:r>
      <w:proofErr w:type="gramEnd"/>
      <w:r w:rsidRPr="00D32F25">
        <w:rPr>
          <w:rFonts w:ascii="Times New Roman" w:eastAsia="Times New Roman" w:hAnsi="Times New Roman" w:cs="Times New Roman"/>
          <w:kern w:val="0"/>
          <w:sz w:val="28"/>
          <w:szCs w:val="28"/>
          <w:lang w:val="en-US" w:eastAsia="uk-UA"/>
          <w14:ligatures w14:val="none"/>
        </w:rPr>
        <w:t xml:space="preserve"> which the author defines clear criteria for the admissibility of the limits of the use of the "spirit of the law" taking into account the principle of separation of powers and the rule of law. It is proved that the main of these criteria is ensuring a balance between strict </w:t>
      </w:r>
      <w:proofErr w:type="gramStart"/>
      <w:r w:rsidRPr="00D32F25">
        <w:rPr>
          <w:rFonts w:ascii="Times New Roman" w:eastAsia="Times New Roman" w:hAnsi="Times New Roman" w:cs="Times New Roman"/>
          <w:kern w:val="0"/>
          <w:sz w:val="28"/>
          <w:szCs w:val="28"/>
          <w:lang w:val="en-US" w:eastAsia="uk-UA"/>
          <w14:ligatures w14:val="none"/>
        </w:rPr>
        <w:t>adherence</w:t>
      </w:r>
      <w:proofErr w:type="gramEnd"/>
      <w:r w:rsidRPr="00D32F25">
        <w:rPr>
          <w:rFonts w:ascii="Times New Roman" w:eastAsia="Times New Roman" w:hAnsi="Times New Roman" w:cs="Times New Roman"/>
          <w:kern w:val="0"/>
          <w:sz w:val="28"/>
          <w:szCs w:val="28"/>
          <w:lang w:val="en-US" w:eastAsia="uk-UA"/>
          <w14:ligatures w14:val="none"/>
        </w:rPr>
        <w:t xml:space="preserve"> to the "letter of the law" and understanding its real, relevant purpose in specific historical conditions.</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val="en-US" w:eastAsia="uk-UA"/>
          <w14:ligatures w14:val="none"/>
        </w:rPr>
      </w:pPr>
      <w:r w:rsidRPr="00D32F25">
        <w:rPr>
          <w:rFonts w:ascii="Times New Roman" w:eastAsia="Times New Roman" w:hAnsi="Times New Roman" w:cs="Times New Roman"/>
          <w:i/>
          <w:iCs/>
          <w:kern w:val="0"/>
          <w:sz w:val="28"/>
          <w:szCs w:val="28"/>
          <w:lang w:val="en-US" w:eastAsia="uk-UA"/>
          <w14:ligatures w14:val="none"/>
        </w:rPr>
        <w:t>Keywords</w:t>
      </w:r>
      <w:r w:rsidRPr="00D32F25">
        <w:rPr>
          <w:rFonts w:ascii="Times New Roman" w:eastAsia="Times New Roman" w:hAnsi="Times New Roman" w:cs="Times New Roman"/>
          <w:kern w:val="0"/>
          <w:sz w:val="28"/>
          <w:szCs w:val="28"/>
          <w:lang w:val="en-US" w:eastAsia="uk-UA"/>
          <w14:ligatures w14:val="none"/>
        </w:rPr>
        <w:t xml:space="preserve">: interpretation of the law; teleological interpretation; will </w:t>
      </w:r>
      <w:r w:rsidR="00917CDF" w:rsidRPr="00D32F25">
        <w:rPr>
          <w:rFonts w:ascii="Times New Roman" w:eastAsia="Times New Roman" w:hAnsi="Times New Roman" w:cs="Times New Roman"/>
          <w:kern w:val="0"/>
          <w:sz w:val="28"/>
          <w:szCs w:val="28"/>
          <w:lang w:val="en-US" w:eastAsia="uk-UA"/>
          <w14:ligatures w14:val="none"/>
        </w:rPr>
        <w:t>of the rule-making authority</w:t>
      </w:r>
      <w:r w:rsidRPr="00D32F25">
        <w:rPr>
          <w:rFonts w:ascii="Times New Roman" w:eastAsia="Times New Roman" w:hAnsi="Times New Roman" w:cs="Times New Roman"/>
          <w:kern w:val="0"/>
          <w:sz w:val="28"/>
          <w:szCs w:val="28"/>
          <w:lang w:val="en-US" w:eastAsia="uk-UA"/>
          <w14:ligatures w14:val="none"/>
        </w:rPr>
        <w:t xml:space="preserve">; spirit and letter of the law; rule of law; legal certainty; </w:t>
      </w:r>
      <w:r w:rsidR="00917CDF" w:rsidRPr="00D32F25">
        <w:rPr>
          <w:rFonts w:ascii="Times New Roman" w:eastAsia="Times New Roman" w:hAnsi="Times New Roman" w:cs="Times New Roman"/>
          <w:kern w:val="0"/>
          <w:sz w:val="28"/>
          <w:szCs w:val="28"/>
          <w:lang w:val="en-US" w:eastAsia="uk-UA"/>
          <w14:ligatures w14:val="none"/>
        </w:rPr>
        <w:t>gaps and conflicts in legislation; case law; preparatory materials to draft legislation.</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eastAsia="uk-UA"/>
          <w14:ligatures w14:val="none"/>
        </w:rPr>
      </w:pP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b/>
          <w:bCs/>
          <w:kern w:val="0"/>
          <w:sz w:val="28"/>
          <w:szCs w:val="28"/>
          <w:lang w:eastAsia="uk-UA"/>
          <w14:ligatures w14:val="none"/>
        </w:rPr>
        <w:t>Актуальність теми дослідження</w:t>
      </w:r>
      <w:r w:rsidRPr="00D32F25">
        <w:rPr>
          <w:rFonts w:ascii="Times New Roman" w:eastAsia="Times New Roman" w:hAnsi="Times New Roman" w:cs="Times New Roman"/>
          <w:kern w:val="0"/>
          <w:sz w:val="28"/>
          <w:szCs w:val="28"/>
          <w:lang w:eastAsia="uk-UA"/>
          <w14:ligatures w14:val="none"/>
        </w:rPr>
        <w:t xml:space="preserve">. </w:t>
      </w:r>
      <w:r w:rsidR="00597328" w:rsidRPr="00D32F25">
        <w:rPr>
          <w:rFonts w:ascii="Times New Roman" w:eastAsia="Times New Roman" w:hAnsi="Times New Roman" w:cs="Times New Roman"/>
          <w:kern w:val="0"/>
          <w:sz w:val="28"/>
          <w:szCs w:val="28"/>
          <w:lang w:eastAsia="uk-UA"/>
          <w14:ligatures w14:val="none"/>
        </w:rPr>
        <w:t xml:space="preserve">Співвідношення </w:t>
      </w:r>
      <w:r w:rsidRPr="00D32F25">
        <w:rPr>
          <w:rFonts w:ascii="Times New Roman" w:eastAsia="Times New Roman" w:hAnsi="Times New Roman" w:cs="Times New Roman"/>
          <w:kern w:val="0"/>
          <w:sz w:val="28"/>
          <w:szCs w:val="28"/>
          <w:lang w:eastAsia="uk-UA"/>
          <w14:ligatures w14:val="none"/>
        </w:rPr>
        <w:t>духу</w:t>
      </w:r>
      <w:r w:rsidR="00597328" w:rsidRPr="00D32F25">
        <w:rPr>
          <w:rFonts w:ascii="Times New Roman" w:eastAsia="Times New Roman" w:hAnsi="Times New Roman" w:cs="Times New Roman"/>
          <w:kern w:val="0"/>
          <w:sz w:val="28"/>
          <w:szCs w:val="28"/>
          <w:lang w:eastAsia="uk-UA"/>
          <w14:ligatures w14:val="none"/>
        </w:rPr>
        <w:t xml:space="preserve"> і </w:t>
      </w:r>
      <w:r w:rsidRPr="00D32F25">
        <w:rPr>
          <w:rFonts w:ascii="Times New Roman" w:eastAsia="Times New Roman" w:hAnsi="Times New Roman" w:cs="Times New Roman"/>
          <w:kern w:val="0"/>
          <w:sz w:val="28"/>
          <w:szCs w:val="28"/>
          <w:lang w:eastAsia="uk-UA"/>
          <w14:ligatures w14:val="none"/>
        </w:rPr>
        <w:t xml:space="preserve">букви закону є однією з проблем юриспруденції, яка особливо загострилася в умовах динамічних суспільних змін, технологічних викликів та кризових явищ. З огляду на це, перед правовою доктриною та правозастосовною практикою постало питання щодо того, чи обмежений суддя або інший суб’єкт </w:t>
      </w:r>
      <w:r w:rsidR="00B67B55" w:rsidRPr="00D32F25">
        <w:rPr>
          <w:rFonts w:ascii="Times New Roman" w:eastAsia="Times New Roman" w:hAnsi="Times New Roman" w:cs="Times New Roman"/>
          <w:kern w:val="0"/>
          <w:sz w:val="28"/>
          <w:szCs w:val="28"/>
          <w:lang w:eastAsia="uk-UA"/>
          <w14:ligatures w14:val="none"/>
        </w:rPr>
        <w:t>правозастосування</w:t>
      </w:r>
      <w:r w:rsidRPr="00D32F25">
        <w:rPr>
          <w:rFonts w:ascii="Times New Roman" w:eastAsia="Times New Roman" w:hAnsi="Times New Roman" w:cs="Times New Roman"/>
          <w:kern w:val="0"/>
          <w:sz w:val="28"/>
          <w:szCs w:val="28"/>
          <w:lang w:eastAsia="uk-UA"/>
          <w14:ligatures w14:val="none"/>
        </w:rPr>
        <w:t xml:space="preserve"> лише текстовим (буквальним) значенням </w:t>
      </w:r>
      <w:r w:rsidR="00B67B55" w:rsidRPr="00D32F25">
        <w:rPr>
          <w:rFonts w:ascii="Times New Roman" w:eastAsia="Times New Roman" w:hAnsi="Times New Roman" w:cs="Times New Roman"/>
          <w:kern w:val="0"/>
          <w:sz w:val="28"/>
          <w:szCs w:val="28"/>
          <w:lang w:eastAsia="uk-UA"/>
          <w14:ligatures w14:val="none"/>
        </w:rPr>
        <w:t xml:space="preserve">норми права </w:t>
      </w:r>
      <w:r w:rsidRPr="00D32F25">
        <w:rPr>
          <w:rFonts w:ascii="Times New Roman" w:eastAsia="Times New Roman" w:hAnsi="Times New Roman" w:cs="Times New Roman"/>
          <w:kern w:val="0"/>
          <w:sz w:val="28"/>
          <w:szCs w:val="28"/>
          <w:lang w:eastAsia="uk-UA"/>
          <w14:ligatures w14:val="none"/>
        </w:rPr>
        <w:t xml:space="preserve">або ж під час тлумачення </w:t>
      </w:r>
      <w:r w:rsidR="00B67B55" w:rsidRPr="00D32F25">
        <w:rPr>
          <w:rFonts w:ascii="Times New Roman" w:eastAsia="Times New Roman" w:hAnsi="Times New Roman" w:cs="Times New Roman"/>
          <w:kern w:val="0"/>
          <w:sz w:val="28"/>
          <w:szCs w:val="28"/>
          <w:lang w:eastAsia="uk-UA"/>
          <w14:ligatures w14:val="none"/>
        </w:rPr>
        <w:t xml:space="preserve">у процесі правозастосування </w:t>
      </w:r>
      <w:r w:rsidRPr="00D32F25">
        <w:rPr>
          <w:rFonts w:ascii="Times New Roman" w:eastAsia="Times New Roman" w:hAnsi="Times New Roman" w:cs="Times New Roman"/>
          <w:kern w:val="0"/>
          <w:sz w:val="28"/>
          <w:szCs w:val="28"/>
          <w:lang w:eastAsia="uk-UA"/>
          <w14:ligatures w14:val="none"/>
        </w:rPr>
        <w:t xml:space="preserve">відповідному суб’єкту слід ураховувати і дух закону, який криється у дійсній волі та намірах </w:t>
      </w:r>
      <w:r w:rsidR="001C02A7" w:rsidRPr="00D32F25">
        <w:rPr>
          <w:rFonts w:ascii="Times New Roman" w:eastAsia="Times New Roman" w:hAnsi="Times New Roman" w:cs="Times New Roman"/>
          <w:kern w:val="0"/>
          <w:sz w:val="28"/>
          <w:szCs w:val="28"/>
          <w:lang w:eastAsia="uk-UA"/>
          <w14:ligatures w14:val="none"/>
        </w:rPr>
        <w:t>суб’єкта нормотворення</w:t>
      </w:r>
      <w:r w:rsidRPr="00D32F25">
        <w:rPr>
          <w:rFonts w:ascii="Times New Roman" w:eastAsia="Times New Roman" w:hAnsi="Times New Roman" w:cs="Times New Roman"/>
          <w:kern w:val="0"/>
          <w:sz w:val="28"/>
          <w:szCs w:val="28"/>
          <w:lang w:eastAsia="uk-UA"/>
          <w14:ligatures w14:val="none"/>
        </w:rPr>
        <w:t xml:space="preserve">. </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У цьому контексті важливо наголосити, що у сучасному правовому полі, де фундаментальним принципом є верховенство права, зміст якого не обмежується вимогою щодо дотримання законності, а включає й інші елементи, зокрема забезпечення справедливості</w:t>
      </w:r>
      <w:r w:rsidR="00954515" w:rsidRPr="00D32F25">
        <w:rPr>
          <w:rFonts w:ascii="Times New Roman" w:eastAsia="Times New Roman" w:hAnsi="Times New Roman" w:cs="Times New Roman"/>
          <w:kern w:val="0"/>
          <w:sz w:val="28"/>
          <w:szCs w:val="28"/>
          <w:lang w:eastAsia="uk-UA"/>
          <w14:ligatures w14:val="none"/>
        </w:rPr>
        <w:t>, добросовісності</w:t>
      </w:r>
      <w:r w:rsidRPr="00D32F25">
        <w:rPr>
          <w:rFonts w:ascii="Times New Roman" w:eastAsia="Times New Roman" w:hAnsi="Times New Roman" w:cs="Times New Roman"/>
          <w:kern w:val="0"/>
          <w:sz w:val="28"/>
          <w:szCs w:val="28"/>
          <w:lang w:eastAsia="uk-UA"/>
          <w14:ligatures w14:val="none"/>
        </w:rPr>
        <w:t xml:space="preserve">, а також правової визначеності, саме телеологічне тлумачення (тлумачення за волею </w:t>
      </w:r>
      <w:r w:rsidR="001C02A7" w:rsidRPr="00D32F25">
        <w:rPr>
          <w:rFonts w:ascii="Times New Roman" w:eastAsia="Times New Roman" w:hAnsi="Times New Roman" w:cs="Times New Roman"/>
          <w:kern w:val="0"/>
          <w:sz w:val="28"/>
          <w:szCs w:val="28"/>
          <w:lang w:eastAsia="uk-UA"/>
          <w14:ligatures w14:val="none"/>
        </w:rPr>
        <w:t>суб’єкта нормотворення</w:t>
      </w:r>
      <w:r w:rsidRPr="00D32F25">
        <w:rPr>
          <w:rFonts w:ascii="Times New Roman" w:eastAsia="Times New Roman" w:hAnsi="Times New Roman" w:cs="Times New Roman"/>
          <w:kern w:val="0"/>
          <w:sz w:val="28"/>
          <w:szCs w:val="28"/>
          <w:lang w:eastAsia="uk-UA"/>
          <w14:ligatures w14:val="none"/>
        </w:rPr>
        <w:t xml:space="preserve">) набуває особливого значення. Водночас застосування </w:t>
      </w:r>
      <w:r w:rsidR="00954515" w:rsidRPr="00D32F25">
        <w:rPr>
          <w:rFonts w:ascii="Times New Roman" w:eastAsia="Times New Roman" w:hAnsi="Times New Roman" w:cs="Times New Roman"/>
          <w:kern w:val="0"/>
          <w:sz w:val="28"/>
          <w:szCs w:val="28"/>
          <w:lang w:eastAsia="uk-UA"/>
          <w14:ligatures w14:val="none"/>
        </w:rPr>
        <w:t>такого</w:t>
      </w:r>
      <w:r w:rsidRPr="00D32F25">
        <w:rPr>
          <w:rFonts w:ascii="Times New Roman" w:eastAsia="Times New Roman" w:hAnsi="Times New Roman" w:cs="Times New Roman"/>
          <w:kern w:val="0"/>
          <w:sz w:val="28"/>
          <w:szCs w:val="28"/>
          <w:lang w:eastAsia="uk-UA"/>
          <w14:ligatures w14:val="none"/>
        </w:rPr>
        <w:t xml:space="preserve"> способу тлумачення закону на основі широкого суддівського розсуду може спричинити порушення </w:t>
      </w:r>
      <w:r w:rsidR="00597328" w:rsidRPr="00D32F25">
        <w:rPr>
          <w:rFonts w:ascii="Times New Roman" w:eastAsia="Times New Roman" w:hAnsi="Times New Roman" w:cs="Times New Roman"/>
          <w:kern w:val="0"/>
          <w:sz w:val="28"/>
          <w:szCs w:val="28"/>
          <w:lang w:eastAsia="uk-UA"/>
          <w14:ligatures w14:val="none"/>
        </w:rPr>
        <w:t xml:space="preserve">балансу між </w:t>
      </w:r>
      <w:r w:rsidRPr="00D32F25">
        <w:rPr>
          <w:rFonts w:ascii="Times New Roman" w:eastAsia="Times New Roman" w:hAnsi="Times New Roman" w:cs="Times New Roman"/>
          <w:kern w:val="0"/>
          <w:sz w:val="28"/>
          <w:szCs w:val="28"/>
          <w:lang w:eastAsia="uk-UA"/>
          <w14:ligatures w14:val="none"/>
        </w:rPr>
        <w:t>правовою визначеністю та іншими елементами принципу верховенства права</w:t>
      </w:r>
      <w:r w:rsidR="00954515" w:rsidRPr="00D32F25">
        <w:rPr>
          <w:rFonts w:ascii="Times New Roman" w:eastAsia="Times New Roman" w:hAnsi="Times New Roman" w:cs="Times New Roman"/>
          <w:kern w:val="0"/>
          <w:sz w:val="28"/>
          <w:szCs w:val="28"/>
          <w:lang w:eastAsia="uk-UA"/>
          <w14:ligatures w14:val="none"/>
        </w:rPr>
        <w:t>; призвести</w:t>
      </w:r>
      <w:r w:rsidRPr="00D32F25">
        <w:rPr>
          <w:rFonts w:ascii="Times New Roman" w:eastAsia="Times New Roman" w:hAnsi="Times New Roman" w:cs="Times New Roman"/>
          <w:kern w:val="0"/>
          <w:sz w:val="28"/>
          <w:szCs w:val="28"/>
          <w:lang w:eastAsia="uk-UA"/>
          <w14:ligatures w14:val="none"/>
        </w:rPr>
        <w:t xml:space="preserve"> до суддівського свавілля або навпаки – до надмірного формалізму, що нівелює справжню волю </w:t>
      </w:r>
      <w:r w:rsidR="001C02A7" w:rsidRPr="00D32F25">
        <w:rPr>
          <w:rFonts w:ascii="Times New Roman" w:eastAsia="Times New Roman" w:hAnsi="Times New Roman" w:cs="Times New Roman"/>
          <w:kern w:val="0"/>
          <w:sz w:val="28"/>
          <w:szCs w:val="28"/>
          <w:lang w:eastAsia="uk-UA"/>
          <w14:ligatures w14:val="none"/>
        </w:rPr>
        <w:t>суб’єкта нормотворення</w:t>
      </w:r>
      <w:r w:rsidRPr="00D32F25">
        <w:rPr>
          <w:rFonts w:ascii="Times New Roman" w:eastAsia="Times New Roman" w:hAnsi="Times New Roman" w:cs="Times New Roman"/>
          <w:kern w:val="0"/>
          <w:sz w:val="28"/>
          <w:szCs w:val="28"/>
          <w:lang w:eastAsia="uk-UA"/>
          <w14:ligatures w14:val="none"/>
        </w:rPr>
        <w:t>. З огляду на це, виникає необхідність у проведенні ґрунтовного дослідження, присвяченого системному аналізу наукових підходів до розуміння поняття телеологічного способу тлумачення закону, а також судової практики застосування цього способу тлумачення норм права.</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
          <w:bCs/>
          <w:kern w:val="0"/>
          <w:sz w:val="28"/>
          <w:szCs w:val="28"/>
          <w:lang w:eastAsia="uk-UA"/>
          <w14:ligatures w14:val="none"/>
        </w:rPr>
        <w:t xml:space="preserve">Формулювання мети дослідження. </w:t>
      </w:r>
      <w:r w:rsidRPr="00D32F25">
        <w:rPr>
          <w:rFonts w:ascii="Times New Roman" w:eastAsia="Times New Roman" w:hAnsi="Times New Roman" w:cs="Times New Roman"/>
          <w:kern w:val="0"/>
          <w:sz w:val="28"/>
          <w:szCs w:val="28"/>
          <w:lang w:eastAsia="uk-UA"/>
          <w14:ligatures w14:val="none"/>
        </w:rPr>
        <w:t>Метою цієї статті</w:t>
      </w:r>
      <w:r w:rsidRPr="00D32F25">
        <w:rPr>
          <w:rFonts w:ascii="Times New Roman" w:eastAsia="Times New Roman" w:hAnsi="Times New Roman" w:cs="Times New Roman"/>
          <w:bCs/>
          <w:kern w:val="0"/>
          <w:sz w:val="28"/>
          <w:szCs w:val="28"/>
          <w:lang w:eastAsia="uk-UA"/>
          <w14:ligatures w14:val="none"/>
        </w:rPr>
        <w:t xml:space="preserve"> є проведення комплексного та системного аналізу поняття та сутності телеологічного способу тлумачення норм</w:t>
      </w:r>
      <w:r w:rsidR="00B67B55" w:rsidRPr="00D32F25">
        <w:rPr>
          <w:rFonts w:ascii="Times New Roman" w:eastAsia="Times New Roman" w:hAnsi="Times New Roman" w:cs="Times New Roman"/>
          <w:bCs/>
          <w:kern w:val="0"/>
          <w:sz w:val="28"/>
          <w:szCs w:val="28"/>
          <w:lang w:eastAsia="uk-UA"/>
          <w14:ligatures w14:val="none"/>
        </w:rPr>
        <w:t xml:space="preserve"> права</w:t>
      </w:r>
      <w:r w:rsidRPr="00D32F25">
        <w:rPr>
          <w:rFonts w:ascii="Times New Roman" w:eastAsia="Times New Roman" w:hAnsi="Times New Roman" w:cs="Times New Roman"/>
          <w:bCs/>
          <w:kern w:val="0"/>
          <w:sz w:val="28"/>
          <w:szCs w:val="28"/>
          <w:lang w:eastAsia="uk-UA"/>
          <w14:ligatures w14:val="none"/>
        </w:rPr>
        <w:t xml:space="preserve">, що ґрунтується на з’ясуванні </w:t>
      </w:r>
      <w:r w:rsidR="00D27DE6" w:rsidRPr="00D32F25">
        <w:rPr>
          <w:rFonts w:ascii="Times New Roman" w:eastAsia="Times New Roman" w:hAnsi="Times New Roman" w:cs="Times New Roman"/>
          <w:bCs/>
          <w:kern w:val="0"/>
          <w:sz w:val="28"/>
          <w:szCs w:val="28"/>
          <w:lang w:eastAsia="uk-UA"/>
          <w14:ligatures w14:val="none"/>
        </w:rPr>
        <w:t xml:space="preserve">дійсної </w:t>
      </w:r>
      <w:r w:rsidRPr="00D32F25">
        <w:rPr>
          <w:rFonts w:ascii="Times New Roman" w:eastAsia="Times New Roman" w:hAnsi="Times New Roman" w:cs="Times New Roman"/>
          <w:bCs/>
          <w:kern w:val="0"/>
          <w:sz w:val="28"/>
          <w:szCs w:val="28"/>
          <w:lang w:eastAsia="uk-UA"/>
          <w14:ligatures w14:val="none"/>
        </w:rPr>
        <w:t xml:space="preserve">волі та намірів </w:t>
      </w:r>
      <w:r w:rsidR="00D27DE6" w:rsidRPr="00D32F25">
        <w:rPr>
          <w:rFonts w:ascii="Times New Roman" w:eastAsia="Times New Roman" w:hAnsi="Times New Roman" w:cs="Times New Roman"/>
          <w:bCs/>
          <w:kern w:val="0"/>
          <w:sz w:val="28"/>
          <w:szCs w:val="28"/>
          <w:lang w:eastAsia="uk-UA"/>
          <w14:ligatures w14:val="none"/>
        </w:rPr>
        <w:t xml:space="preserve">відповідного </w:t>
      </w:r>
      <w:r w:rsidR="001C02A7" w:rsidRPr="00D32F25">
        <w:rPr>
          <w:rFonts w:ascii="Times New Roman" w:eastAsia="Times New Roman" w:hAnsi="Times New Roman" w:cs="Times New Roman"/>
          <w:kern w:val="0"/>
          <w:sz w:val="28"/>
          <w:szCs w:val="28"/>
          <w:lang w:eastAsia="uk-UA"/>
          <w14:ligatures w14:val="none"/>
        </w:rPr>
        <w:t>суб’єкта нормотворення</w:t>
      </w:r>
      <w:r w:rsidRPr="00D32F25">
        <w:rPr>
          <w:rFonts w:ascii="Times New Roman" w:eastAsia="Times New Roman" w:hAnsi="Times New Roman" w:cs="Times New Roman"/>
          <w:bCs/>
          <w:kern w:val="0"/>
          <w:sz w:val="28"/>
          <w:szCs w:val="28"/>
          <w:lang w:eastAsia="uk-UA"/>
          <w14:ligatures w14:val="none"/>
        </w:rPr>
        <w:t xml:space="preserve">. Для реалізації цієї мети у статті були поставлені та вирішені такі завдання: 1) визначено </w:t>
      </w:r>
      <w:r w:rsidR="00597328" w:rsidRPr="00D32F25">
        <w:rPr>
          <w:rFonts w:ascii="Times New Roman" w:eastAsia="Times New Roman" w:hAnsi="Times New Roman" w:cs="Times New Roman"/>
          <w:bCs/>
          <w:kern w:val="0"/>
          <w:sz w:val="28"/>
          <w:szCs w:val="28"/>
          <w:lang w:eastAsia="uk-UA"/>
          <w14:ligatures w14:val="none"/>
        </w:rPr>
        <w:t xml:space="preserve">співвідношення між </w:t>
      </w:r>
      <w:r w:rsidRPr="00D32F25">
        <w:rPr>
          <w:rFonts w:ascii="Times New Roman" w:eastAsia="Times New Roman" w:hAnsi="Times New Roman" w:cs="Times New Roman"/>
          <w:bCs/>
          <w:kern w:val="0"/>
          <w:sz w:val="28"/>
          <w:szCs w:val="28"/>
          <w:lang w:eastAsia="uk-UA"/>
          <w14:ligatures w14:val="none"/>
        </w:rPr>
        <w:t>духом</w:t>
      </w:r>
      <w:r w:rsidR="00597328" w:rsidRPr="00D32F25">
        <w:rPr>
          <w:rFonts w:ascii="Times New Roman" w:eastAsia="Times New Roman" w:hAnsi="Times New Roman" w:cs="Times New Roman"/>
          <w:bCs/>
          <w:kern w:val="0"/>
          <w:sz w:val="28"/>
          <w:szCs w:val="28"/>
          <w:lang w:eastAsia="uk-UA"/>
          <w14:ligatures w14:val="none"/>
        </w:rPr>
        <w:t xml:space="preserve"> і </w:t>
      </w:r>
      <w:r w:rsidRPr="00D32F25">
        <w:rPr>
          <w:rFonts w:ascii="Times New Roman" w:eastAsia="Times New Roman" w:hAnsi="Times New Roman" w:cs="Times New Roman"/>
          <w:bCs/>
          <w:kern w:val="0"/>
          <w:sz w:val="28"/>
          <w:szCs w:val="28"/>
          <w:lang w:eastAsia="uk-UA"/>
          <w14:ligatures w14:val="none"/>
        </w:rPr>
        <w:t xml:space="preserve">буквою закону та окреслено значення досягнення оптимального балансу для утвердження верховенства права та забезпечення справедливості; 2) установлено сутність такого підходу до тлумачення норми права як з’ясування волі </w:t>
      </w:r>
      <w:r w:rsidR="001C02A7" w:rsidRPr="00D32F25">
        <w:rPr>
          <w:rFonts w:ascii="Times New Roman" w:eastAsia="Times New Roman" w:hAnsi="Times New Roman" w:cs="Times New Roman"/>
          <w:kern w:val="0"/>
          <w:sz w:val="28"/>
          <w:szCs w:val="28"/>
          <w:lang w:eastAsia="uk-UA"/>
          <w14:ligatures w14:val="none"/>
        </w:rPr>
        <w:t xml:space="preserve">суб’єкта </w:t>
      </w:r>
      <w:r w:rsidR="001C02A7" w:rsidRPr="00D32F25">
        <w:rPr>
          <w:rFonts w:ascii="Times New Roman" w:eastAsia="Times New Roman" w:hAnsi="Times New Roman" w:cs="Times New Roman"/>
          <w:kern w:val="0"/>
          <w:sz w:val="28"/>
          <w:szCs w:val="28"/>
          <w:lang w:eastAsia="uk-UA"/>
          <w14:ligatures w14:val="none"/>
        </w:rPr>
        <w:lastRenderedPageBreak/>
        <w:t>нормотворення</w:t>
      </w:r>
      <w:r w:rsidRPr="00D32F25">
        <w:rPr>
          <w:rFonts w:ascii="Times New Roman" w:eastAsia="Times New Roman" w:hAnsi="Times New Roman" w:cs="Times New Roman"/>
          <w:bCs/>
          <w:kern w:val="0"/>
          <w:sz w:val="28"/>
          <w:szCs w:val="28"/>
          <w:lang w:eastAsia="uk-UA"/>
          <w14:ligatures w14:val="none"/>
        </w:rPr>
        <w:t xml:space="preserve"> та визначено прикладні способи її виявлення (підготовчі матеріали, </w:t>
      </w:r>
      <w:r w:rsidR="00DF0FC5" w:rsidRPr="00D32F25">
        <w:rPr>
          <w:rFonts w:ascii="Times New Roman" w:eastAsia="Times New Roman" w:hAnsi="Times New Roman" w:cs="Times New Roman"/>
          <w:bCs/>
          <w:kern w:val="0"/>
          <w:sz w:val="28"/>
          <w:szCs w:val="28"/>
          <w:lang w:eastAsia="uk-UA"/>
          <w14:ligatures w14:val="none"/>
        </w:rPr>
        <w:t>преамбула</w:t>
      </w:r>
      <w:r w:rsidRPr="00D32F25">
        <w:rPr>
          <w:rFonts w:ascii="Times New Roman" w:eastAsia="Times New Roman" w:hAnsi="Times New Roman" w:cs="Times New Roman"/>
          <w:bCs/>
          <w:kern w:val="0"/>
          <w:sz w:val="28"/>
          <w:szCs w:val="28"/>
          <w:lang w:eastAsia="uk-UA"/>
          <w14:ligatures w14:val="none"/>
        </w:rPr>
        <w:t xml:space="preserve"> тощо); 3) проведено аналіз практики Конституційного Суду України (далі – КСУ), Верховного Суд</w:t>
      </w:r>
      <w:r w:rsidR="00597328" w:rsidRPr="00D32F25">
        <w:rPr>
          <w:rFonts w:ascii="Times New Roman" w:eastAsia="Times New Roman" w:hAnsi="Times New Roman" w:cs="Times New Roman"/>
          <w:bCs/>
          <w:kern w:val="0"/>
          <w:sz w:val="28"/>
          <w:szCs w:val="28"/>
          <w:lang w:eastAsia="uk-UA"/>
          <w14:ligatures w14:val="none"/>
        </w:rPr>
        <w:t>у</w:t>
      </w:r>
      <w:r w:rsidRPr="00D32F25">
        <w:rPr>
          <w:rFonts w:ascii="Times New Roman" w:eastAsia="Times New Roman" w:hAnsi="Times New Roman" w:cs="Times New Roman"/>
          <w:bCs/>
          <w:kern w:val="0"/>
          <w:sz w:val="28"/>
          <w:szCs w:val="28"/>
          <w:lang w:eastAsia="uk-UA"/>
          <w14:ligatures w14:val="none"/>
        </w:rPr>
        <w:t xml:space="preserve"> (далі – ВС) та Європейського суду з прав людини (далі – ЄСПЛ), а також інститутів Європейського Союзу (далі – ЄС) у сфері застосування телеологічного способу тлумачення норм права; 4) надано оцінку можливим ризикам </w:t>
      </w:r>
      <w:r w:rsidR="00D27DE6" w:rsidRPr="00D32F25">
        <w:rPr>
          <w:rFonts w:ascii="Times New Roman" w:eastAsia="Times New Roman" w:hAnsi="Times New Roman" w:cs="Times New Roman"/>
          <w:bCs/>
          <w:kern w:val="0"/>
          <w:sz w:val="28"/>
          <w:szCs w:val="28"/>
          <w:lang w:eastAsia="uk-UA"/>
          <w14:ligatures w14:val="none"/>
        </w:rPr>
        <w:t xml:space="preserve">надмірного </w:t>
      </w:r>
      <w:r w:rsidRPr="00D32F25">
        <w:rPr>
          <w:rFonts w:ascii="Times New Roman" w:eastAsia="Times New Roman" w:hAnsi="Times New Roman" w:cs="Times New Roman"/>
          <w:bCs/>
          <w:kern w:val="0"/>
          <w:sz w:val="28"/>
          <w:szCs w:val="28"/>
          <w:lang w:eastAsia="uk-UA"/>
          <w14:ligatures w14:val="none"/>
        </w:rPr>
        <w:t xml:space="preserve">суддівського </w:t>
      </w:r>
      <w:r w:rsidR="00D27DE6" w:rsidRPr="00D32F25">
        <w:rPr>
          <w:rFonts w:ascii="Times New Roman" w:eastAsia="Times New Roman" w:hAnsi="Times New Roman" w:cs="Times New Roman"/>
          <w:bCs/>
          <w:kern w:val="0"/>
          <w:sz w:val="28"/>
          <w:szCs w:val="28"/>
          <w:lang w:eastAsia="uk-UA"/>
          <w14:ligatures w14:val="none"/>
        </w:rPr>
        <w:t>активізму</w:t>
      </w:r>
      <w:r w:rsidRPr="00D32F25">
        <w:rPr>
          <w:rFonts w:ascii="Times New Roman" w:eastAsia="Times New Roman" w:hAnsi="Times New Roman" w:cs="Times New Roman"/>
          <w:bCs/>
          <w:kern w:val="0"/>
          <w:sz w:val="28"/>
          <w:szCs w:val="28"/>
          <w:lang w:eastAsia="uk-UA"/>
          <w14:ligatures w14:val="none"/>
        </w:rPr>
        <w:t xml:space="preserve"> під час застосування телеологічного способу тлумачення норм права та запропоновано чіткі критерії допустимості тлумачення закону, що ґрунтується на з’ясуванні волі </w:t>
      </w:r>
      <w:r w:rsidR="001C02A7" w:rsidRPr="00D32F25">
        <w:rPr>
          <w:rFonts w:ascii="Times New Roman" w:eastAsia="Times New Roman" w:hAnsi="Times New Roman" w:cs="Times New Roman"/>
          <w:kern w:val="0"/>
          <w:sz w:val="28"/>
          <w:szCs w:val="28"/>
          <w:lang w:eastAsia="uk-UA"/>
          <w14:ligatures w14:val="none"/>
        </w:rPr>
        <w:t>суб’єкта нормотворення</w:t>
      </w:r>
      <w:r w:rsidRPr="00D32F25">
        <w:rPr>
          <w:rFonts w:ascii="Times New Roman" w:eastAsia="Times New Roman" w:hAnsi="Times New Roman" w:cs="Times New Roman"/>
          <w:bCs/>
          <w:kern w:val="0"/>
          <w:sz w:val="28"/>
          <w:szCs w:val="28"/>
          <w:lang w:eastAsia="uk-UA"/>
          <w14:ligatures w14:val="none"/>
        </w:rPr>
        <w:t>.</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
          <w:kern w:val="0"/>
          <w:sz w:val="28"/>
          <w:szCs w:val="28"/>
          <w:lang w:eastAsia="uk-UA"/>
          <w14:ligatures w14:val="none"/>
        </w:rPr>
        <w:t>Стан дослідження</w:t>
      </w:r>
      <w:r w:rsidRPr="00D32F25">
        <w:rPr>
          <w:rFonts w:ascii="Times New Roman" w:eastAsia="Times New Roman" w:hAnsi="Times New Roman" w:cs="Times New Roman"/>
          <w:bCs/>
          <w:kern w:val="0"/>
          <w:sz w:val="28"/>
          <w:szCs w:val="28"/>
          <w:lang w:eastAsia="uk-UA"/>
          <w14:ligatures w14:val="none"/>
        </w:rPr>
        <w:t>. Окремі питання проблематики тлумачення норми права крізь призму з’ясування дійсної волі</w:t>
      </w:r>
      <w:r w:rsidR="00597328" w:rsidRPr="00D32F25">
        <w:rPr>
          <w:rFonts w:ascii="Times New Roman" w:eastAsia="Times New Roman" w:hAnsi="Times New Roman" w:cs="Times New Roman"/>
          <w:bCs/>
          <w:kern w:val="0"/>
          <w:sz w:val="28"/>
          <w:szCs w:val="28"/>
          <w:lang w:eastAsia="uk-UA"/>
          <w14:ligatures w14:val="none"/>
        </w:rPr>
        <w:t xml:space="preserve"> законодавця та співвідношення </w:t>
      </w:r>
      <w:r w:rsidRPr="00D32F25">
        <w:rPr>
          <w:rFonts w:ascii="Times New Roman" w:eastAsia="Times New Roman" w:hAnsi="Times New Roman" w:cs="Times New Roman"/>
          <w:bCs/>
          <w:kern w:val="0"/>
          <w:sz w:val="28"/>
          <w:szCs w:val="28"/>
          <w:lang w:eastAsia="uk-UA"/>
          <w14:ligatures w14:val="none"/>
        </w:rPr>
        <w:t xml:space="preserve">духу і букви закону досліджували такі науковці як В. К. Антошкіна, М. Білак, Д. Луспеник, А. М. Мірошниченко, О. Ткачук, О. М. Юхимюк та ін. </w:t>
      </w:r>
      <w:r w:rsidR="000F44E0" w:rsidRPr="000F44E0">
        <w:rPr>
          <w:rFonts w:ascii="Times New Roman" w:eastAsia="Times New Roman" w:hAnsi="Times New Roman" w:cs="Times New Roman"/>
          <w:bCs/>
          <w:kern w:val="0"/>
          <w:sz w:val="28"/>
          <w:szCs w:val="28"/>
          <w:lang w:eastAsia="uk-UA"/>
          <w14:ligatures w14:val="none"/>
        </w:rPr>
        <w:t>Деякі аспекти цієї проблематики порушувалися у працях автора цієї статті, зокрема в частині дослідження критерію якості закону [1], визначення підстав для незастосування судом під час вирішення справи закону, що суперечить Конституції України [2; 3], еволюції принципів адміністративного судочинства від формального підходу до сучасної людиноцентричної парадигми [5</w:t>
      </w:r>
      <w:r w:rsidR="000F44E0">
        <w:rPr>
          <w:rFonts w:ascii="Times New Roman" w:eastAsia="Times New Roman" w:hAnsi="Times New Roman" w:cs="Times New Roman"/>
          <w:bCs/>
          <w:kern w:val="0"/>
          <w:sz w:val="28"/>
          <w:szCs w:val="28"/>
          <w:lang w:eastAsia="uk-UA"/>
          <w14:ligatures w14:val="none"/>
        </w:rPr>
        <w:t>3</w:t>
      </w:r>
      <w:r w:rsidR="000F44E0" w:rsidRPr="000F44E0">
        <w:rPr>
          <w:rFonts w:ascii="Times New Roman" w:eastAsia="Times New Roman" w:hAnsi="Times New Roman" w:cs="Times New Roman"/>
          <w:bCs/>
          <w:kern w:val="0"/>
          <w:sz w:val="28"/>
          <w:szCs w:val="28"/>
          <w:lang w:eastAsia="uk-UA"/>
          <w14:ligatures w14:val="none"/>
        </w:rPr>
        <w:t>], а також аналізу реалізації принципів верховенства права та правової визначеності в умовах цифровізації правосуддя, зокрема у зв’язку із застосуванням інстр</w:t>
      </w:r>
      <w:r w:rsidR="000F44E0">
        <w:rPr>
          <w:rFonts w:ascii="Times New Roman" w:eastAsia="Times New Roman" w:hAnsi="Times New Roman" w:cs="Times New Roman"/>
          <w:bCs/>
          <w:kern w:val="0"/>
          <w:sz w:val="28"/>
          <w:szCs w:val="28"/>
          <w:lang w:eastAsia="uk-UA"/>
          <w14:ligatures w14:val="none"/>
        </w:rPr>
        <w:t>ументів штучного інтелекту [54]</w:t>
      </w:r>
      <w:r w:rsidRPr="00D32F25">
        <w:rPr>
          <w:rFonts w:ascii="Times New Roman" w:eastAsia="Times New Roman" w:hAnsi="Times New Roman" w:cs="Times New Roman"/>
          <w:bCs/>
          <w:kern w:val="0"/>
          <w:sz w:val="28"/>
          <w:szCs w:val="28"/>
          <w:lang w:eastAsia="uk-UA"/>
          <w14:ligatures w14:val="none"/>
        </w:rPr>
        <w:t>.</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Огляд наукових робіт у вказаній сфері засвідчує, що окремі вчені (наприклад, В. К. Антошкіна) зосереджували увагу на загальнотеоретичних питаннях, констатуючи відсутність єдиного, усталеного підходу до визначення конкретних прийомів і правил з’ясування змісту норм права та їх об’єднання у класичні способи тлумачення, що підтверджує дискусійність методологічного інструментарію, до якого належить і телеологічне тлумачення [4].</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 xml:space="preserve">Інші науковці, зокрема О. В. Капліна, своєю чергою, здійснювали більш вузькогалузеве дослідження, акцентуючи увагу на телеологічному тлумаченні норм кримінально-процесуального права. Робота цієї вченої має важливе значення для розуміння того, як цей метод застосовується в одній із найбільш чутливих до </w:t>
      </w:r>
      <w:r w:rsidRPr="00D32F25">
        <w:rPr>
          <w:rFonts w:ascii="Times New Roman" w:eastAsia="Times New Roman" w:hAnsi="Times New Roman" w:cs="Times New Roman"/>
          <w:bCs/>
          <w:kern w:val="0"/>
          <w:sz w:val="28"/>
          <w:szCs w:val="28"/>
          <w:lang w:eastAsia="uk-UA"/>
          <w14:ligatures w14:val="none"/>
        </w:rPr>
        <w:lastRenderedPageBreak/>
        <w:t>правової визначеності сфер, де межі суддівської дискреції мають бути особливо суворими [5].</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Проблему досягнення балансу між законністю та суддівськ</w:t>
      </w:r>
      <w:r w:rsidR="00D27DE6" w:rsidRPr="00D32F25">
        <w:rPr>
          <w:rFonts w:ascii="Times New Roman" w:eastAsia="Times New Roman" w:hAnsi="Times New Roman" w:cs="Times New Roman"/>
          <w:bCs/>
          <w:kern w:val="0"/>
          <w:sz w:val="28"/>
          <w:szCs w:val="28"/>
          <w:lang w:eastAsia="uk-UA"/>
          <w14:ligatures w14:val="none"/>
        </w:rPr>
        <w:t>им розсудом</w:t>
      </w:r>
      <w:r w:rsidRPr="00D32F25">
        <w:rPr>
          <w:rFonts w:ascii="Times New Roman" w:eastAsia="Times New Roman" w:hAnsi="Times New Roman" w:cs="Times New Roman"/>
          <w:bCs/>
          <w:kern w:val="0"/>
          <w:sz w:val="28"/>
          <w:szCs w:val="28"/>
          <w:lang w:eastAsia="uk-UA"/>
          <w14:ligatures w14:val="none"/>
        </w:rPr>
        <w:t xml:space="preserve"> під час тлумачення норм права ґрунтовно досліджував А. М. Мірошниченко, фокусуючись на критичних аспектах судової помилки та суддівського свавілля через призму юридичної відповідальності суддів. Цей напрям має важливе значення, оскільки він прямо окреслює ризики надмірного чи</w:t>
      </w:r>
      <w:r w:rsidR="00D27DE6" w:rsidRPr="00D32F25">
        <w:rPr>
          <w:rFonts w:ascii="Times New Roman" w:eastAsia="Times New Roman" w:hAnsi="Times New Roman" w:cs="Times New Roman"/>
          <w:bCs/>
          <w:kern w:val="0"/>
          <w:sz w:val="28"/>
          <w:szCs w:val="28"/>
          <w:lang w:eastAsia="uk-UA"/>
          <w14:ligatures w14:val="none"/>
        </w:rPr>
        <w:t xml:space="preserve"> необґрунтованого використання </w:t>
      </w:r>
      <w:r w:rsidRPr="00D32F25">
        <w:rPr>
          <w:rFonts w:ascii="Times New Roman" w:eastAsia="Times New Roman" w:hAnsi="Times New Roman" w:cs="Times New Roman"/>
          <w:bCs/>
          <w:kern w:val="0"/>
          <w:sz w:val="28"/>
          <w:szCs w:val="28"/>
          <w:lang w:eastAsia="uk-UA"/>
          <w14:ligatures w14:val="none"/>
        </w:rPr>
        <w:t>духу закону, яке може призвести до узурпації законодавчих повноважень судовою гілкою влади [6]. У продовження порушеної проблематики деякі науковці (наприклад, О. Ткачук та Д. Луспеник) аналізують співвідношення верховенства права з традиційним принципом законності. Указані висновки п</w:t>
      </w:r>
      <w:r w:rsidR="00D2535C" w:rsidRPr="00D32F25">
        <w:rPr>
          <w:rFonts w:ascii="Times New Roman" w:eastAsia="Times New Roman" w:hAnsi="Times New Roman" w:cs="Times New Roman"/>
          <w:bCs/>
          <w:kern w:val="0"/>
          <w:sz w:val="28"/>
          <w:szCs w:val="28"/>
          <w:lang w:eastAsia="uk-UA"/>
          <w14:ligatures w14:val="none"/>
        </w:rPr>
        <w:t>ідтверджують</w:t>
      </w:r>
      <w:r w:rsidRPr="00D32F25">
        <w:rPr>
          <w:rFonts w:ascii="Times New Roman" w:eastAsia="Times New Roman" w:hAnsi="Times New Roman" w:cs="Times New Roman"/>
          <w:bCs/>
          <w:kern w:val="0"/>
          <w:sz w:val="28"/>
          <w:szCs w:val="28"/>
          <w:lang w:eastAsia="uk-UA"/>
          <w14:ligatures w14:val="none"/>
        </w:rPr>
        <w:t xml:space="preserve"> можл</w:t>
      </w:r>
      <w:r w:rsidR="00D27DE6" w:rsidRPr="00D32F25">
        <w:rPr>
          <w:rFonts w:ascii="Times New Roman" w:eastAsia="Times New Roman" w:hAnsi="Times New Roman" w:cs="Times New Roman"/>
          <w:bCs/>
          <w:kern w:val="0"/>
          <w:sz w:val="28"/>
          <w:szCs w:val="28"/>
          <w:lang w:eastAsia="uk-UA"/>
          <w14:ligatures w14:val="none"/>
        </w:rPr>
        <w:t xml:space="preserve">ивості імплементації концепції </w:t>
      </w:r>
      <w:r w:rsidRPr="00D32F25">
        <w:rPr>
          <w:rFonts w:ascii="Times New Roman" w:eastAsia="Times New Roman" w:hAnsi="Times New Roman" w:cs="Times New Roman"/>
          <w:bCs/>
          <w:kern w:val="0"/>
          <w:sz w:val="28"/>
          <w:szCs w:val="28"/>
          <w:lang w:eastAsia="uk-UA"/>
          <w14:ligatures w14:val="none"/>
        </w:rPr>
        <w:t>духу закону у філософію верховенства права, де законність має розумітися не лише як дотримання букви, а як забезпечення легітимної мети норми [7].</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 xml:space="preserve">Досліджуючи межі тлумачення норм права судом, М. В. Білак у своїй роботі наголошує на нерозривному зв’язку тлумачення із конституційним контролем. Вчена стверджує, що суди мають імперативний обов’язок аналізувати норми закону на предмет відповідності Конституції України, особливо коли норма є застарілою, незрозумілою або містить колізії. При цьому, у випадках, коли закон не виконує своєї функції, виправданим є суддівський активізм для </w:t>
      </w:r>
      <w:r w:rsidR="00873162" w:rsidRPr="00D32F25">
        <w:rPr>
          <w:rFonts w:ascii="Times New Roman" w:hAnsi="Times New Roman" w:cs="Times New Roman"/>
          <w:sz w:val="28"/>
          <w:szCs w:val="28"/>
        </w:rPr>
        <w:t xml:space="preserve">подолання прогалин, вирішення колізій </w:t>
      </w:r>
      <w:r w:rsidRPr="00D32F25">
        <w:rPr>
          <w:rFonts w:ascii="Times New Roman" w:eastAsia="Times New Roman" w:hAnsi="Times New Roman" w:cs="Times New Roman"/>
          <w:bCs/>
          <w:kern w:val="0"/>
          <w:sz w:val="28"/>
          <w:szCs w:val="28"/>
          <w:lang w:eastAsia="uk-UA"/>
          <w14:ligatures w14:val="none"/>
        </w:rPr>
        <w:t xml:space="preserve">і здійснення тлумачення максимально на користь </w:t>
      </w:r>
      <w:r w:rsidR="00D2535C" w:rsidRPr="00D32F25">
        <w:rPr>
          <w:rFonts w:ascii="Times New Roman" w:eastAsia="Times New Roman" w:hAnsi="Times New Roman" w:cs="Times New Roman"/>
          <w:bCs/>
          <w:kern w:val="0"/>
          <w:sz w:val="28"/>
          <w:szCs w:val="28"/>
          <w:lang w:eastAsia="uk-UA"/>
          <w14:ligatures w14:val="none"/>
        </w:rPr>
        <w:t>Основного Закону</w:t>
      </w:r>
      <w:r w:rsidRPr="00D32F25">
        <w:rPr>
          <w:rFonts w:ascii="Times New Roman" w:eastAsia="Times New Roman" w:hAnsi="Times New Roman" w:cs="Times New Roman"/>
          <w:bCs/>
          <w:kern w:val="0"/>
          <w:sz w:val="28"/>
          <w:szCs w:val="28"/>
          <w:lang w:eastAsia="uk-UA"/>
          <w14:ligatures w14:val="none"/>
        </w:rPr>
        <w:t xml:space="preserve"> України. Таким чином, дослідниця встановлює, що к</w:t>
      </w:r>
      <w:r w:rsidR="00D27DE6" w:rsidRPr="00D32F25">
        <w:rPr>
          <w:rFonts w:ascii="Times New Roman" w:eastAsia="Times New Roman" w:hAnsi="Times New Roman" w:cs="Times New Roman"/>
          <w:bCs/>
          <w:kern w:val="0"/>
          <w:sz w:val="28"/>
          <w:szCs w:val="28"/>
          <w:lang w:eastAsia="uk-UA"/>
          <w14:ligatures w14:val="none"/>
        </w:rPr>
        <w:t xml:space="preserve">інцевою межею легітимності для </w:t>
      </w:r>
      <w:r w:rsidRPr="00D32F25">
        <w:rPr>
          <w:rFonts w:ascii="Times New Roman" w:eastAsia="Times New Roman" w:hAnsi="Times New Roman" w:cs="Times New Roman"/>
          <w:bCs/>
          <w:kern w:val="0"/>
          <w:sz w:val="28"/>
          <w:szCs w:val="28"/>
          <w:lang w:eastAsia="uk-UA"/>
          <w14:ligatures w14:val="none"/>
        </w:rPr>
        <w:t>духу закону</w:t>
      </w:r>
      <w:r w:rsidR="00D27DE6" w:rsidRPr="00D32F25">
        <w:rPr>
          <w:rFonts w:ascii="Times New Roman" w:eastAsia="Times New Roman" w:hAnsi="Times New Roman" w:cs="Times New Roman"/>
          <w:bCs/>
          <w:kern w:val="0"/>
          <w:sz w:val="28"/>
          <w:szCs w:val="28"/>
          <w:lang w:eastAsia="uk-UA"/>
          <w14:ligatures w14:val="none"/>
        </w:rPr>
        <w:t xml:space="preserve"> є його відповідність </w:t>
      </w:r>
      <w:r w:rsidRPr="00D32F25">
        <w:rPr>
          <w:rFonts w:ascii="Times New Roman" w:eastAsia="Times New Roman" w:hAnsi="Times New Roman" w:cs="Times New Roman"/>
          <w:bCs/>
          <w:kern w:val="0"/>
          <w:sz w:val="28"/>
          <w:szCs w:val="28"/>
          <w:lang w:eastAsia="uk-UA"/>
          <w14:ligatures w14:val="none"/>
        </w:rPr>
        <w:t xml:space="preserve">духу Конституції </w:t>
      </w:r>
      <w:r w:rsidR="00D2535C" w:rsidRPr="00D32F25">
        <w:rPr>
          <w:rFonts w:ascii="Times New Roman" w:eastAsia="Times New Roman" w:hAnsi="Times New Roman" w:cs="Times New Roman"/>
          <w:bCs/>
          <w:kern w:val="0"/>
          <w:sz w:val="28"/>
          <w:szCs w:val="28"/>
          <w:lang w:eastAsia="uk-UA"/>
          <w14:ligatures w14:val="none"/>
        </w:rPr>
        <w:t xml:space="preserve">України </w:t>
      </w:r>
      <w:r w:rsidRPr="00D32F25">
        <w:rPr>
          <w:rFonts w:ascii="Times New Roman" w:eastAsia="Times New Roman" w:hAnsi="Times New Roman" w:cs="Times New Roman"/>
          <w:bCs/>
          <w:kern w:val="0"/>
          <w:sz w:val="28"/>
          <w:szCs w:val="28"/>
          <w:lang w:eastAsia="uk-UA"/>
          <w14:ligatures w14:val="none"/>
        </w:rPr>
        <w:t>та принципу конституційної переваги [8].</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У свою чергу О. М. Юхимюк провела порівняльний аналіз, вивчаючи телеологічне тлумачення в практиці Суду Справедливості ЄС, наголошуючи на важливості розлогих преамбул в актах права ЄС для закладення основ прецедентного права [9].</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 xml:space="preserve">Водночас, незважаючи на значний доробок у сфері дослідження різних підходів до тлумачення норм права, низка важливих питань залишається недостатньо розкритою та вимагає подальшого вивчення. Зокрема, </w:t>
      </w:r>
      <w:r w:rsidRPr="00D32F25">
        <w:rPr>
          <w:rFonts w:ascii="Times New Roman" w:eastAsia="Times New Roman" w:hAnsi="Times New Roman" w:cs="Times New Roman"/>
          <w:bCs/>
          <w:kern w:val="0"/>
          <w:sz w:val="28"/>
          <w:szCs w:val="28"/>
          <w:lang w:eastAsia="uk-UA"/>
          <w14:ligatures w14:val="none"/>
        </w:rPr>
        <w:lastRenderedPageBreak/>
        <w:t xml:space="preserve">малодослідженими у сучасній науці права є деякі практичні проблемні питання щодо тлумачення норм права </w:t>
      </w:r>
      <w:r w:rsidR="00597328" w:rsidRPr="00D32F25">
        <w:rPr>
          <w:rFonts w:ascii="Times New Roman" w:eastAsia="Times New Roman" w:hAnsi="Times New Roman" w:cs="Times New Roman"/>
          <w:bCs/>
          <w:kern w:val="0"/>
          <w:sz w:val="28"/>
          <w:szCs w:val="28"/>
          <w:lang w:eastAsia="uk-UA"/>
          <w14:ligatures w14:val="none"/>
        </w:rPr>
        <w:t>шляхом</w:t>
      </w:r>
      <w:r w:rsidRPr="00D32F25">
        <w:rPr>
          <w:rFonts w:ascii="Times New Roman" w:eastAsia="Times New Roman" w:hAnsi="Times New Roman" w:cs="Times New Roman"/>
          <w:bCs/>
          <w:kern w:val="0"/>
          <w:sz w:val="28"/>
          <w:szCs w:val="28"/>
          <w:lang w:eastAsia="uk-UA"/>
          <w14:ligatures w14:val="none"/>
        </w:rPr>
        <w:t xml:space="preserve"> з’ясування дійсної волі законодавця, зокрема на підставі аналізу судової практики. Хоча суди активно використовують пояснювальні записки та стенограми, а також інші інструменти </w:t>
      </w:r>
      <w:r w:rsidR="004B7CD6" w:rsidRPr="00D32F25">
        <w:rPr>
          <w:rFonts w:ascii="Times New Roman" w:eastAsia="Times New Roman" w:hAnsi="Times New Roman" w:cs="Times New Roman"/>
          <w:bCs/>
          <w:kern w:val="0"/>
          <w:sz w:val="28"/>
          <w:szCs w:val="28"/>
          <w:lang w:eastAsia="uk-UA"/>
          <w14:ligatures w14:val="none"/>
        </w:rPr>
        <w:t xml:space="preserve">під час тлумачення та застосування норм права </w:t>
      </w:r>
      <w:r w:rsidRPr="00D32F25">
        <w:rPr>
          <w:rFonts w:ascii="Times New Roman" w:eastAsia="Times New Roman" w:hAnsi="Times New Roman" w:cs="Times New Roman"/>
          <w:bCs/>
          <w:kern w:val="0"/>
          <w:sz w:val="28"/>
          <w:szCs w:val="28"/>
          <w:lang w:eastAsia="uk-UA"/>
          <w14:ligatures w14:val="none"/>
        </w:rPr>
        <w:t xml:space="preserve">для з’ясування волі </w:t>
      </w:r>
      <w:r w:rsidR="004B7CD6" w:rsidRPr="00D32F25">
        <w:rPr>
          <w:rFonts w:ascii="Times New Roman" w:eastAsia="Times New Roman" w:hAnsi="Times New Roman" w:cs="Times New Roman"/>
          <w:bCs/>
          <w:kern w:val="0"/>
          <w:sz w:val="28"/>
          <w:szCs w:val="28"/>
          <w:lang w:eastAsia="uk-UA"/>
          <w14:ligatures w14:val="none"/>
        </w:rPr>
        <w:t>відповідного суб’єкта нормотворення</w:t>
      </w:r>
      <w:r w:rsidRPr="00D32F25">
        <w:rPr>
          <w:rFonts w:ascii="Times New Roman" w:eastAsia="Times New Roman" w:hAnsi="Times New Roman" w:cs="Times New Roman"/>
          <w:bCs/>
          <w:kern w:val="0"/>
          <w:sz w:val="28"/>
          <w:szCs w:val="28"/>
          <w:lang w:eastAsia="uk-UA"/>
          <w14:ligatures w14:val="none"/>
        </w:rPr>
        <w:t xml:space="preserve">, в правовій доктрині та практиці досі відсутній консенсус щодо їхнього офіційного статусу як джерела </w:t>
      </w:r>
      <w:r w:rsidR="004B7CD6" w:rsidRPr="00D32F25">
        <w:rPr>
          <w:rFonts w:ascii="Times New Roman" w:eastAsia="Times New Roman" w:hAnsi="Times New Roman" w:cs="Times New Roman"/>
          <w:bCs/>
          <w:kern w:val="0"/>
          <w:sz w:val="28"/>
          <w:szCs w:val="28"/>
          <w:lang w:eastAsia="uk-UA"/>
          <w14:ligatures w14:val="none"/>
        </w:rPr>
        <w:t>інформації</w:t>
      </w:r>
      <w:r w:rsidRPr="00D32F25">
        <w:rPr>
          <w:rFonts w:ascii="Times New Roman" w:eastAsia="Times New Roman" w:hAnsi="Times New Roman" w:cs="Times New Roman"/>
          <w:bCs/>
          <w:kern w:val="0"/>
          <w:sz w:val="28"/>
          <w:szCs w:val="28"/>
          <w:lang w:eastAsia="uk-UA"/>
          <w14:ligatures w14:val="none"/>
        </w:rPr>
        <w:t xml:space="preserve"> чи лише як допоміжн</w:t>
      </w:r>
      <w:r w:rsidR="0049045C" w:rsidRPr="00D32F25">
        <w:rPr>
          <w:rFonts w:ascii="Times New Roman" w:eastAsia="Times New Roman" w:hAnsi="Times New Roman" w:cs="Times New Roman"/>
          <w:bCs/>
          <w:kern w:val="0"/>
          <w:sz w:val="28"/>
          <w:szCs w:val="28"/>
          <w:lang w:eastAsia="uk-UA"/>
          <w14:ligatures w14:val="none"/>
        </w:rPr>
        <w:t>ий інструмент</w:t>
      </w:r>
      <w:r w:rsidRPr="00D32F25">
        <w:rPr>
          <w:rFonts w:ascii="Times New Roman" w:eastAsia="Times New Roman" w:hAnsi="Times New Roman" w:cs="Times New Roman"/>
          <w:bCs/>
          <w:kern w:val="0"/>
          <w:sz w:val="28"/>
          <w:szCs w:val="28"/>
          <w:lang w:eastAsia="uk-UA"/>
          <w14:ligatures w14:val="none"/>
        </w:rPr>
        <w:t xml:space="preserve"> тлумачення, що особливо актуально з огляду на випадки, коли зміст пояснювальної записки суперечить фінальному тексту закону або її мета виявляє політичний, а не виключно правовий характер.</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Окрім того, потребує подальшого аналізу співвідношення між легітимною юридичною метою закону та політичною чи економічною доцільністю, яка простежується у підготовчих матеріалах, з метою нівелювання ризику використання судами політичних мотивів для обґрунтування своїх рішень.</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
          <w:kern w:val="0"/>
          <w:sz w:val="28"/>
          <w:szCs w:val="28"/>
          <w:lang w:eastAsia="uk-UA"/>
          <w14:ligatures w14:val="none"/>
        </w:rPr>
        <w:t>Виклад основного матеріалу</w:t>
      </w:r>
      <w:r w:rsidRPr="00D32F25">
        <w:rPr>
          <w:rFonts w:ascii="Times New Roman" w:eastAsia="Times New Roman" w:hAnsi="Times New Roman" w:cs="Times New Roman"/>
          <w:bCs/>
          <w:kern w:val="0"/>
          <w:sz w:val="28"/>
          <w:szCs w:val="28"/>
          <w:lang w:eastAsia="uk-UA"/>
          <w14:ligatures w14:val="none"/>
        </w:rPr>
        <w:t xml:space="preserve">. Юридична доктрина виокремлює цілу систему способів тлумачення норми права, які є необхідними для забезпечення ефективності правозастосування. У науковій літературі до таких способів зазвичай відносять: граматичний (лінгвістичний аналіз тексту норми), системний (аналіз норми у структурі акта та правової системи), історичний (врахування умов прийняття) та </w:t>
      </w:r>
      <w:r w:rsidR="00D2535C" w:rsidRPr="00D32F25">
        <w:rPr>
          <w:rFonts w:ascii="Times New Roman" w:eastAsia="Times New Roman" w:hAnsi="Times New Roman" w:cs="Times New Roman"/>
          <w:bCs/>
          <w:kern w:val="0"/>
          <w:sz w:val="28"/>
          <w:szCs w:val="28"/>
          <w:lang w:eastAsia="uk-UA"/>
          <w14:ligatures w14:val="none"/>
        </w:rPr>
        <w:t>телеологічний</w:t>
      </w:r>
      <w:r w:rsidR="00873162" w:rsidRPr="00D32F25">
        <w:rPr>
          <w:rFonts w:ascii="Times New Roman" w:eastAsia="Times New Roman" w:hAnsi="Times New Roman" w:cs="Times New Roman"/>
          <w:bCs/>
          <w:kern w:val="0"/>
          <w:sz w:val="28"/>
          <w:szCs w:val="28"/>
          <w:lang w:eastAsia="uk-UA"/>
          <w14:ligatures w14:val="none"/>
        </w:rPr>
        <w:t xml:space="preserve"> </w:t>
      </w:r>
      <w:r w:rsidRPr="00D32F25">
        <w:rPr>
          <w:rFonts w:ascii="Times New Roman" w:eastAsia="Times New Roman" w:hAnsi="Times New Roman" w:cs="Times New Roman"/>
          <w:bCs/>
          <w:kern w:val="0"/>
          <w:sz w:val="28"/>
          <w:szCs w:val="28"/>
          <w:lang w:eastAsia="uk-UA"/>
          <w14:ligatures w14:val="none"/>
        </w:rPr>
        <w:t>– з’ясування справжньої мети, яку прагнув досягти законодавець [10].</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i/>
          <w:iCs/>
          <w:kern w:val="0"/>
          <w:sz w:val="28"/>
          <w:szCs w:val="28"/>
          <w:lang w:eastAsia="uk-UA"/>
          <w14:ligatures w14:val="none"/>
        </w:rPr>
      </w:pPr>
      <w:r w:rsidRPr="00D32F25">
        <w:rPr>
          <w:rFonts w:ascii="Times New Roman" w:eastAsia="Times New Roman" w:hAnsi="Times New Roman" w:cs="Times New Roman"/>
          <w:bCs/>
          <w:i/>
          <w:iCs/>
          <w:kern w:val="0"/>
          <w:sz w:val="28"/>
          <w:szCs w:val="28"/>
          <w:lang w:eastAsia="uk-UA"/>
          <w14:ligatures w14:val="none"/>
        </w:rPr>
        <w:t xml:space="preserve">1. Поняття та сутність телеологічного тлумачення норм права в аспекті </w:t>
      </w:r>
      <w:r w:rsidR="00B67B55" w:rsidRPr="00D32F25">
        <w:rPr>
          <w:rFonts w:ascii="Times New Roman" w:eastAsia="Times New Roman" w:hAnsi="Times New Roman" w:cs="Times New Roman"/>
          <w:bCs/>
          <w:i/>
          <w:iCs/>
          <w:kern w:val="0"/>
          <w:sz w:val="28"/>
          <w:szCs w:val="28"/>
          <w:lang w:eastAsia="uk-UA"/>
          <w14:ligatures w14:val="none"/>
        </w:rPr>
        <w:t xml:space="preserve">концепції </w:t>
      </w:r>
      <w:r w:rsidRPr="00D32F25">
        <w:rPr>
          <w:rFonts w:ascii="Times New Roman" w:eastAsia="Times New Roman" w:hAnsi="Times New Roman" w:cs="Times New Roman"/>
          <w:bCs/>
          <w:i/>
          <w:iCs/>
          <w:kern w:val="0"/>
          <w:sz w:val="28"/>
          <w:szCs w:val="28"/>
          <w:lang w:eastAsia="uk-UA"/>
          <w14:ligatures w14:val="none"/>
        </w:rPr>
        <w:t>волі закон</w:t>
      </w:r>
      <w:r w:rsidR="002C6BE8" w:rsidRPr="00D32F25">
        <w:rPr>
          <w:rFonts w:ascii="Times New Roman" w:eastAsia="Times New Roman" w:hAnsi="Times New Roman" w:cs="Times New Roman"/>
          <w:bCs/>
          <w:i/>
          <w:iCs/>
          <w:kern w:val="0"/>
          <w:sz w:val="28"/>
          <w:szCs w:val="28"/>
          <w:lang w:eastAsia="uk-UA"/>
          <w14:ligatures w14:val="none"/>
        </w:rPr>
        <w:t>одавця</w:t>
      </w:r>
      <w:r w:rsidRPr="00D32F25">
        <w:rPr>
          <w:rFonts w:ascii="Times New Roman" w:eastAsia="Times New Roman" w:hAnsi="Times New Roman" w:cs="Times New Roman"/>
          <w:bCs/>
          <w:i/>
          <w:iCs/>
          <w:kern w:val="0"/>
          <w:sz w:val="28"/>
          <w:szCs w:val="28"/>
          <w:lang w:eastAsia="uk-UA"/>
          <w14:ligatures w14:val="none"/>
        </w:rPr>
        <w:t xml:space="preserve"> </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 xml:space="preserve">Необхідність тлумачення, особливо звернення до телеологічного способу, зумовлюється двома </w:t>
      </w:r>
      <w:r w:rsidR="00EF455C" w:rsidRPr="00D32F25">
        <w:rPr>
          <w:rFonts w:ascii="Times New Roman" w:eastAsia="Times New Roman" w:hAnsi="Times New Roman" w:cs="Times New Roman"/>
          <w:bCs/>
          <w:kern w:val="0"/>
          <w:sz w:val="28"/>
          <w:szCs w:val="28"/>
          <w:lang w:eastAsia="uk-UA"/>
          <w14:ligatures w14:val="none"/>
        </w:rPr>
        <w:t xml:space="preserve">детермінантами, а саме, </w:t>
      </w:r>
      <w:r w:rsidRPr="00D32F25">
        <w:rPr>
          <w:rFonts w:ascii="Times New Roman" w:eastAsia="Times New Roman" w:hAnsi="Times New Roman" w:cs="Times New Roman"/>
          <w:bCs/>
          <w:kern w:val="0"/>
          <w:sz w:val="28"/>
          <w:szCs w:val="28"/>
          <w:lang w:eastAsia="uk-UA"/>
          <w14:ligatures w14:val="none"/>
        </w:rPr>
        <w:t xml:space="preserve">дефект </w:t>
      </w:r>
      <w:r w:rsidR="00D27DE6" w:rsidRPr="00D32F25">
        <w:rPr>
          <w:rFonts w:ascii="Times New Roman" w:eastAsia="Times New Roman" w:hAnsi="Times New Roman" w:cs="Times New Roman"/>
          <w:bCs/>
          <w:kern w:val="0"/>
          <w:sz w:val="28"/>
          <w:szCs w:val="28"/>
          <w:lang w:eastAsia="uk-UA"/>
          <w14:ligatures w14:val="none"/>
        </w:rPr>
        <w:t>критерія якості закон</w:t>
      </w:r>
      <w:r w:rsidR="00EF455C" w:rsidRPr="00D32F25">
        <w:rPr>
          <w:rFonts w:ascii="Times New Roman" w:eastAsia="Times New Roman" w:hAnsi="Times New Roman" w:cs="Times New Roman"/>
          <w:bCs/>
          <w:kern w:val="0"/>
          <w:sz w:val="28"/>
          <w:szCs w:val="28"/>
          <w:lang w:eastAsia="uk-UA"/>
          <w14:ligatures w14:val="none"/>
        </w:rPr>
        <w:t>у</w:t>
      </w:r>
      <w:r w:rsidRPr="00D32F25">
        <w:rPr>
          <w:rFonts w:ascii="Times New Roman" w:eastAsia="Times New Roman" w:hAnsi="Times New Roman" w:cs="Times New Roman"/>
          <w:bCs/>
          <w:kern w:val="0"/>
          <w:sz w:val="28"/>
          <w:szCs w:val="28"/>
          <w:lang w:eastAsia="uk-UA"/>
          <w14:ligatures w14:val="none"/>
        </w:rPr>
        <w:t xml:space="preserve"> як важливої складової принципу верховенства права та динамічною зміною правовідносин, що часто випереджає законодавчий процес. Саме у випадках неоднозначності, наявності прогалин або колізій у законі чи іншому нормативно-правовому акті застосовується тлумачення на користь людини, а також з’ясування дійсної волі законодавця.</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lastRenderedPageBreak/>
        <w:t>Водночас, з’ясування дійсної волі законодавця є методологічно складним завданням для суду. Як зазначає з цього приводу А. Мірошниченко, під час тлумаченн</w:t>
      </w:r>
      <w:r w:rsidR="00917CDF" w:rsidRPr="00D32F25">
        <w:rPr>
          <w:rFonts w:ascii="Times New Roman" w:eastAsia="Times New Roman" w:hAnsi="Times New Roman" w:cs="Times New Roman"/>
          <w:bCs/>
          <w:kern w:val="0"/>
          <w:sz w:val="28"/>
          <w:szCs w:val="28"/>
          <w:lang w:eastAsia="uk-UA"/>
          <w14:ligatures w14:val="none"/>
        </w:rPr>
        <w:t>я</w:t>
      </w:r>
      <w:r w:rsidRPr="00D32F25">
        <w:rPr>
          <w:rFonts w:ascii="Times New Roman" w:eastAsia="Times New Roman" w:hAnsi="Times New Roman" w:cs="Times New Roman"/>
          <w:bCs/>
          <w:kern w:val="0"/>
          <w:sz w:val="28"/>
          <w:szCs w:val="28"/>
          <w:lang w:eastAsia="uk-UA"/>
          <w14:ligatures w14:val="none"/>
        </w:rPr>
        <w:t xml:space="preserve"> змісту мовної формули закону, на відміну від особистого звернення до автора, можливість отримати однозначне роз’яснення відсутня. На думку науковця, пробле</w:t>
      </w:r>
      <w:r w:rsidR="00D27DE6" w:rsidRPr="00D32F25">
        <w:rPr>
          <w:rFonts w:ascii="Times New Roman" w:eastAsia="Times New Roman" w:hAnsi="Times New Roman" w:cs="Times New Roman"/>
          <w:bCs/>
          <w:kern w:val="0"/>
          <w:sz w:val="28"/>
          <w:szCs w:val="28"/>
          <w:lang w:eastAsia="uk-UA"/>
          <w14:ligatures w14:val="none"/>
        </w:rPr>
        <w:t xml:space="preserve">ма є не семантичною (з’ясувати </w:t>
      </w:r>
      <w:r w:rsidRPr="00D32F25">
        <w:rPr>
          <w:rFonts w:ascii="Times New Roman" w:eastAsia="Times New Roman" w:hAnsi="Times New Roman" w:cs="Times New Roman"/>
          <w:bCs/>
          <w:kern w:val="0"/>
          <w:sz w:val="28"/>
          <w:szCs w:val="28"/>
          <w:lang w:eastAsia="uk-UA"/>
          <w14:ligatures w14:val="none"/>
        </w:rPr>
        <w:t>дійсний зміст), а інтерпретаційною за своєю суттю (віднайти «найкраще тлумачення»), оскільки навіть пояснювальна записка чи стенограми не гарантують виявлення консенсусної волі, адже не всі члени парламенту могли керуватися саме тими міркуваннями [6].</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У свою чергу Р. Циппеліус підкреслює, що тлумачення завжди базується на основі можливого смислу слова і рухається в межах його загальноприйнятого значення. Суб’єкт тлумачення, на думку вченого, повинен не просто віднайти зміст, а й аргументувати свій вибір шляхом зважування причин і підстав, що виправдовують надання того чи іншого смислу, тобто тлумачення має характер дискурсу, результатом якого є вибір найбільш переконливого та обґрунтованого варіанту [11].</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 xml:space="preserve">Таким чином, з позиції Р. Циппеліуса, головним у процесі правозастосування є пошук </w:t>
      </w:r>
      <w:r w:rsidRPr="00D32F25">
        <w:rPr>
          <w:rFonts w:ascii="Times New Roman" w:eastAsia="Times New Roman" w:hAnsi="Times New Roman" w:cs="Times New Roman"/>
          <w:kern w:val="0"/>
          <w:sz w:val="28"/>
          <w:szCs w:val="28"/>
          <w:lang w:eastAsia="uk-UA"/>
          <w14:ligatures w14:val="none"/>
        </w:rPr>
        <w:t xml:space="preserve">легітимізуючого обґрунтування, яке випливає із функціонального розуміння права, а саме – забезпечення прийняття несуперечливих, справедливих та корисних рішень, що задовольняють інтереси учасників відносин. Виходячи з цього, вчений </w:t>
      </w:r>
      <w:r w:rsidR="0049045C" w:rsidRPr="00D32F25">
        <w:rPr>
          <w:rFonts w:ascii="Times New Roman" w:eastAsia="Times New Roman" w:hAnsi="Times New Roman" w:cs="Times New Roman"/>
          <w:kern w:val="0"/>
          <w:sz w:val="28"/>
          <w:szCs w:val="28"/>
          <w:lang w:eastAsia="uk-UA"/>
          <w14:ligatures w14:val="none"/>
        </w:rPr>
        <w:t>робить висновок</w:t>
      </w:r>
      <w:r w:rsidRPr="00D32F25">
        <w:rPr>
          <w:rFonts w:ascii="Times New Roman" w:eastAsia="Times New Roman" w:hAnsi="Times New Roman" w:cs="Times New Roman"/>
          <w:kern w:val="0"/>
          <w:sz w:val="28"/>
          <w:szCs w:val="28"/>
          <w:lang w:eastAsia="uk-UA"/>
          <w14:ligatures w14:val="none"/>
        </w:rPr>
        <w:t>, що тлумачення має враховувати розподіл функцій влади і передусім реалізовувати регулювальні функції, закладені законодавцем, оскільки саме такий підхід відповідає телеологічному критерію, згідно з яким тлумачення норм права має здійснюватися з урахуванням нормотворчої компетенції законодавця</w:t>
      </w:r>
      <w:r w:rsidRPr="00D32F25">
        <w:rPr>
          <w:rFonts w:ascii="Times New Roman" w:eastAsia="Times New Roman" w:hAnsi="Times New Roman" w:cs="Times New Roman"/>
          <w:bCs/>
          <w:kern w:val="0"/>
          <w:sz w:val="28"/>
          <w:szCs w:val="28"/>
          <w:lang w:eastAsia="uk-UA"/>
          <w14:ligatures w14:val="none"/>
        </w:rPr>
        <w:t xml:space="preserve"> та його уявлення про цілі й мету закріпленого нормою правила [11].</w:t>
      </w:r>
    </w:p>
    <w:p w:rsidR="008513B9"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На обґрунтування такого підходу Р. Циппеліуса зауважує, що законодавець, як представник волі суспільства, визначає форми поведінки для досягнення певних цілей, застосовуючи свій розсуд щодо доречності обраних юридичних засобів. Отже, за висновком вченого, той, хто тлумачить закон, повинен орієнтуватися на мету, до якої законодавець міг би або повинен би прийти як носій консенсуальних уявлень [11].</w:t>
      </w:r>
    </w:p>
    <w:p w:rsidR="00226E5A" w:rsidRPr="00D32F25" w:rsidRDefault="00226E5A"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226E5A">
        <w:rPr>
          <w:rFonts w:ascii="Times New Roman" w:eastAsia="Times New Roman" w:hAnsi="Times New Roman" w:cs="Times New Roman"/>
          <w:bCs/>
          <w:kern w:val="0"/>
          <w:sz w:val="28"/>
          <w:szCs w:val="28"/>
          <w:lang w:eastAsia="uk-UA"/>
          <w14:ligatures w14:val="none"/>
        </w:rPr>
        <w:lastRenderedPageBreak/>
        <w:t xml:space="preserve">Слід враховувати, що "воля законодавця" не є механічною сукупністю думок окремих авторів проєкту, а є </w:t>
      </w:r>
      <w:proofErr w:type="spellStart"/>
      <w:r w:rsidRPr="00226E5A">
        <w:rPr>
          <w:rFonts w:ascii="Times New Roman" w:eastAsia="Times New Roman" w:hAnsi="Times New Roman" w:cs="Times New Roman"/>
          <w:bCs/>
          <w:kern w:val="0"/>
          <w:sz w:val="28"/>
          <w:szCs w:val="28"/>
          <w:lang w:eastAsia="uk-UA"/>
          <w14:ligatures w14:val="none"/>
        </w:rPr>
        <w:t>інституціоналізованим</w:t>
      </w:r>
      <w:proofErr w:type="spellEnd"/>
      <w:r w:rsidRPr="00226E5A">
        <w:rPr>
          <w:rFonts w:ascii="Times New Roman" w:eastAsia="Times New Roman" w:hAnsi="Times New Roman" w:cs="Times New Roman"/>
          <w:bCs/>
          <w:kern w:val="0"/>
          <w:sz w:val="28"/>
          <w:szCs w:val="28"/>
          <w:lang w:eastAsia="uk-UA"/>
          <w14:ligatures w14:val="none"/>
        </w:rPr>
        <w:t xml:space="preserve"> наміром, що пройшов процедуру обговорення та ухвалення. Пояснювальна записка у цьому контексті розглядається не як приватний погляд ініціатора, а як частина </w:t>
      </w:r>
      <w:proofErr w:type="spellStart"/>
      <w:r w:rsidRPr="00226E5A">
        <w:rPr>
          <w:rFonts w:ascii="Times New Roman" w:eastAsia="Times New Roman" w:hAnsi="Times New Roman" w:cs="Times New Roman"/>
          <w:bCs/>
          <w:kern w:val="0"/>
          <w:sz w:val="28"/>
          <w:szCs w:val="28"/>
          <w:lang w:eastAsia="uk-UA"/>
          <w14:ligatures w14:val="none"/>
        </w:rPr>
        <w:t>об’єктивізованої</w:t>
      </w:r>
      <w:proofErr w:type="spellEnd"/>
      <w:r w:rsidRPr="00226E5A">
        <w:rPr>
          <w:rFonts w:ascii="Times New Roman" w:eastAsia="Times New Roman" w:hAnsi="Times New Roman" w:cs="Times New Roman"/>
          <w:bCs/>
          <w:kern w:val="0"/>
          <w:sz w:val="28"/>
          <w:szCs w:val="28"/>
          <w:lang w:eastAsia="uk-UA"/>
          <w14:ligatures w14:val="none"/>
        </w:rPr>
        <w:t xml:space="preserve"> волі органу нормотворення, що легітимізує фінальний текст акта</w:t>
      </w:r>
      <w:r>
        <w:rPr>
          <w:rFonts w:ascii="Times New Roman" w:eastAsia="Times New Roman" w:hAnsi="Times New Roman" w:cs="Times New Roman"/>
          <w:bCs/>
          <w:kern w:val="0"/>
          <w:sz w:val="28"/>
          <w:szCs w:val="28"/>
          <w:lang w:eastAsia="uk-UA"/>
          <w14:ligatures w14:val="none"/>
        </w:rPr>
        <w:t>.</w:t>
      </w:r>
    </w:p>
    <w:p w:rsidR="002C6BE8" w:rsidRPr="00D32F25" w:rsidRDefault="002C6BE8"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У межах цього дослідження мета (ціль) норми розглядається як об’єктивований результат нормотворчої діяльності, воля законодавця — як джерело формування цієї мети, а дух закону – як інтерпретаційний результат її з’ясування у світлі принципів верховенства права та конкретного історичного контексту. Таким чином, дух закону не є самостійним джерелом права і не протистоїть букві закону, а слугує засобом її осмислення у випадках, коли буквальне тлумачення призводить до формальних, несправедливих або таких, що суперечать легітимній меті регулювання, результатів.</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 xml:space="preserve">Таким чином, з’ясування дійсної волі законодавця (телеологічне тлумачення) є методологічно складним інтерпретаційним дискурсом, який виходить за межі пошуку однозначного змісту, вимагаючи від суду </w:t>
      </w:r>
      <w:r w:rsidR="0049045C" w:rsidRPr="00D32F25">
        <w:rPr>
          <w:rFonts w:ascii="Times New Roman" w:eastAsia="Times New Roman" w:hAnsi="Times New Roman" w:cs="Times New Roman"/>
          <w:kern w:val="0"/>
          <w:sz w:val="28"/>
          <w:szCs w:val="28"/>
          <w:lang w:eastAsia="uk-UA"/>
          <w14:ligatures w14:val="none"/>
        </w:rPr>
        <w:t xml:space="preserve">або іншого органу правозастосування </w:t>
      </w:r>
      <w:r w:rsidRPr="00D32F25">
        <w:rPr>
          <w:rFonts w:ascii="Times New Roman" w:eastAsia="Times New Roman" w:hAnsi="Times New Roman" w:cs="Times New Roman"/>
          <w:kern w:val="0"/>
          <w:sz w:val="28"/>
          <w:szCs w:val="28"/>
          <w:lang w:eastAsia="uk-UA"/>
          <w14:ligatures w14:val="none"/>
        </w:rPr>
        <w:t xml:space="preserve">зважування аргументів та вибору найбільш </w:t>
      </w:r>
      <w:r w:rsidR="0049045C" w:rsidRPr="00D32F25">
        <w:rPr>
          <w:rFonts w:ascii="Times New Roman" w:eastAsia="Times New Roman" w:hAnsi="Times New Roman" w:cs="Times New Roman"/>
          <w:kern w:val="0"/>
          <w:sz w:val="28"/>
          <w:szCs w:val="28"/>
          <w:lang w:eastAsia="uk-UA"/>
          <w14:ligatures w14:val="none"/>
        </w:rPr>
        <w:t>переконливого</w:t>
      </w:r>
      <w:r w:rsidRPr="00D32F25">
        <w:rPr>
          <w:rFonts w:ascii="Times New Roman" w:eastAsia="Times New Roman" w:hAnsi="Times New Roman" w:cs="Times New Roman"/>
          <w:kern w:val="0"/>
          <w:sz w:val="28"/>
          <w:szCs w:val="28"/>
          <w:lang w:eastAsia="uk-UA"/>
          <w14:ligatures w14:val="none"/>
        </w:rPr>
        <w:t xml:space="preserve"> обґрунтування, що відповідає функціональному призначенню права та </w:t>
      </w:r>
      <w:r w:rsidR="0049045C" w:rsidRPr="00D32F25">
        <w:rPr>
          <w:rFonts w:ascii="Times New Roman" w:eastAsia="Times New Roman" w:hAnsi="Times New Roman" w:cs="Times New Roman"/>
          <w:kern w:val="0"/>
          <w:sz w:val="28"/>
          <w:szCs w:val="28"/>
          <w:lang w:eastAsia="uk-UA"/>
          <w14:ligatures w14:val="none"/>
        </w:rPr>
        <w:t xml:space="preserve">принципу </w:t>
      </w:r>
      <w:r w:rsidRPr="00D32F25">
        <w:rPr>
          <w:rFonts w:ascii="Times New Roman" w:eastAsia="Times New Roman" w:hAnsi="Times New Roman" w:cs="Times New Roman"/>
          <w:kern w:val="0"/>
          <w:sz w:val="28"/>
          <w:szCs w:val="28"/>
          <w:lang w:eastAsia="uk-UA"/>
          <w14:ligatures w14:val="none"/>
        </w:rPr>
        <w:t>розподілу влади.</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 xml:space="preserve">Досліджуючи питання щодо сутності телеологічного способу тлумачення норми права, слід враховувати, що застосування цього способу в умовах воєнного стану, який </w:t>
      </w:r>
      <w:r w:rsidR="0049045C" w:rsidRPr="00D32F25">
        <w:rPr>
          <w:rFonts w:ascii="Times New Roman" w:eastAsia="Times New Roman" w:hAnsi="Times New Roman" w:cs="Times New Roman"/>
          <w:bCs/>
          <w:kern w:val="0"/>
          <w:sz w:val="28"/>
          <w:szCs w:val="28"/>
          <w:lang w:eastAsia="uk-UA"/>
          <w14:ligatures w14:val="none"/>
        </w:rPr>
        <w:t>діє в Україні</w:t>
      </w:r>
      <w:r w:rsidRPr="00D32F25">
        <w:rPr>
          <w:rFonts w:ascii="Times New Roman" w:eastAsia="Times New Roman" w:hAnsi="Times New Roman" w:cs="Times New Roman"/>
          <w:bCs/>
          <w:kern w:val="0"/>
          <w:sz w:val="28"/>
          <w:szCs w:val="28"/>
          <w:lang w:eastAsia="uk-UA"/>
          <w14:ligatures w14:val="none"/>
        </w:rPr>
        <w:t xml:space="preserve"> з 24 лютого 2022 року [12], вимагає особливої уваги до соціального </w:t>
      </w:r>
      <w:r w:rsidR="00D27DE6" w:rsidRPr="00D32F25">
        <w:rPr>
          <w:rFonts w:ascii="Times New Roman" w:eastAsia="Times New Roman" w:hAnsi="Times New Roman" w:cs="Times New Roman"/>
          <w:bCs/>
          <w:kern w:val="0"/>
          <w:sz w:val="28"/>
          <w:szCs w:val="28"/>
          <w:lang w:eastAsia="uk-UA"/>
          <w14:ligatures w14:val="none"/>
        </w:rPr>
        <w:t xml:space="preserve">контексту. При цьому </w:t>
      </w:r>
      <w:r w:rsidRPr="00D32F25">
        <w:rPr>
          <w:rFonts w:ascii="Times New Roman" w:eastAsia="Times New Roman" w:hAnsi="Times New Roman" w:cs="Times New Roman"/>
          <w:bCs/>
          <w:kern w:val="0"/>
          <w:sz w:val="28"/>
          <w:szCs w:val="28"/>
          <w:lang w:eastAsia="uk-UA"/>
          <w14:ligatures w14:val="none"/>
        </w:rPr>
        <w:t>дух закону має відповідати об’єктивній легітимній меті, а не лише суб’єктивним політичним мотивам</w:t>
      </w:r>
      <w:r w:rsidR="0049045C" w:rsidRPr="00D32F25">
        <w:rPr>
          <w:rFonts w:ascii="Times New Roman" w:eastAsia="Times New Roman" w:hAnsi="Times New Roman" w:cs="Times New Roman"/>
          <w:bCs/>
          <w:kern w:val="0"/>
          <w:sz w:val="28"/>
          <w:szCs w:val="28"/>
          <w:lang w:eastAsia="uk-UA"/>
          <w14:ligatures w14:val="none"/>
        </w:rPr>
        <w:t xml:space="preserve"> відповідного суб’єкта нормотворення</w:t>
      </w:r>
      <w:r w:rsidRPr="00D32F25">
        <w:rPr>
          <w:rFonts w:ascii="Times New Roman" w:eastAsia="Times New Roman" w:hAnsi="Times New Roman" w:cs="Times New Roman"/>
          <w:bCs/>
          <w:kern w:val="0"/>
          <w:sz w:val="28"/>
          <w:szCs w:val="28"/>
          <w:lang w:eastAsia="uk-UA"/>
          <w14:ligatures w14:val="none"/>
        </w:rPr>
        <w:t>. Наприклад, у дослідженні, присвяченому легітимності обмеження деяких соціальних прав громадян в умовах воєнного стану, Т. Фулей зазначає, що аналіз стенограм щодо запровадження одноразової виплати до 5 травня засвідчив, що її мета була не виключно соціальною, а й політичною (формою підкупу виборців), що суперечить принципам, які має забезпечувати закон [13, с. 267].</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lastRenderedPageBreak/>
        <w:t xml:space="preserve">Ураховуючи, що питання застосування телеологічного способу тлумачення норм права безпосередньо пов’язане з принципом законності як одного з елементів верховенства права, а також слугує критерієм для обмеження суддівської правотворчості та суддівського активізму, відповідно, у державі, в якій утверджений принцип поділу влади, суб’єкт правозастосування, зокрема суд, повинен зважати на </w:t>
      </w:r>
      <w:r w:rsidR="0049045C" w:rsidRPr="00D32F25">
        <w:rPr>
          <w:rFonts w:ascii="Times New Roman" w:eastAsia="Times New Roman" w:hAnsi="Times New Roman" w:cs="Times New Roman"/>
          <w:bCs/>
          <w:kern w:val="0"/>
          <w:sz w:val="28"/>
          <w:szCs w:val="28"/>
          <w:lang w:eastAsia="uk-UA"/>
          <w14:ligatures w14:val="none"/>
        </w:rPr>
        <w:t>виключну</w:t>
      </w:r>
      <w:r w:rsidRPr="00D32F25">
        <w:rPr>
          <w:rFonts w:ascii="Times New Roman" w:eastAsia="Times New Roman" w:hAnsi="Times New Roman" w:cs="Times New Roman"/>
          <w:bCs/>
          <w:kern w:val="0"/>
          <w:sz w:val="28"/>
          <w:szCs w:val="28"/>
          <w:lang w:eastAsia="uk-UA"/>
          <w14:ligatures w14:val="none"/>
        </w:rPr>
        <w:t xml:space="preserve"> компетенцію законодавця та його уявлення про цілі й мету </w:t>
      </w:r>
      <w:r w:rsidR="0049045C" w:rsidRPr="00D32F25">
        <w:rPr>
          <w:rFonts w:ascii="Times New Roman" w:eastAsia="Times New Roman" w:hAnsi="Times New Roman" w:cs="Times New Roman"/>
          <w:bCs/>
          <w:kern w:val="0"/>
          <w:sz w:val="28"/>
          <w:szCs w:val="28"/>
          <w:lang w:eastAsia="uk-UA"/>
          <w14:ligatures w14:val="none"/>
        </w:rPr>
        <w:t>відповідної норми права</w:t>
      </w:r>
      <w:r w:rsidRPr="00D32F25">
        <w:rPr>
          <w:rFonts w:ascii="Times New Roman" w:eastAsia="Times New Roman" w:hAnsi="Times New Roman" w:cs="Times New Roman"/>
          <w:bCs/>
          <w:kern w:val="0"/>
          <w:sz w:val="28"/>
          <w:szCs w:val="28"/>
          <w:lang w:eastAsia="uk-UA"/>
          <w14:ligatures w14:val="none"/>
        </w:rPr>
        <w:t>, що відповідає традиційному телеологічному критерію тлумачення. У цьому аспекті актуалізується вислів: «воля</w:t>
      </w:r>
      <w:r w:rsidRPr="00D32F25">
        <w:rPr>
          <w:rFonts w:ascii="Times New Roman" w:eastAsia="Times New Roman" w:hAnsi="Times New Roman" w:cs="Times New Roman"/>
          <w:bCs/>
          <w:i/>
          <w:iCs/>
          <w:kern w:val="0"/>
          <w:sz w:val="28"/>
          <w:szCs w:val="28"/>
          <w:lang w:eastAsia="uk-UA"/>
          <w14:ligatures w14:val="none"/>
        </w:rPr>
        <w:t xml:space="preserve"> </w:t>
      </w:r>
      <w:r w:rsidRPr="00D32F25">
        <w:rPr>
          <w:rFonts w:ascii="Times New Roman" w:eastAsia="Times New Roman" w:hAnsi="Times New Roman" w:cs="Times New Roman"/>
          <w:bCs/>
          <w:kern w:val="0"/>
          <w:sz w:val="28"/>
          <w:szCs w:val="28"/>
          <w:lang w:eastAsia="uk-UA"/>
          <w14:ligatures w14:val="none"/>
        </w:rPr>
        <w:t>народу – найвищий закон» [14; 15].</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 xml:space="preserve">Зрештою, як зазначається у </w:t>
      </w:r>
      <w:r w:rsidRPr="00D32F25">
        <w:rPr>
          <w:rFonts w:ascii="Times New Roman" w:eastAsia="Times New Roman" w:hAnsi="Times New Roman" w:cs="Times New Roman"/>
          <w:kern w:val="0"/>
          <w:sz w:val="28"/>
          <w:szCs w:val="28"/>
          <w:lang w:eastAsia="uk-UA"/>
          <w14:ligatures w14:val="none"/>
        </w:rPr>
        <w:t xml:space="preserve">Доповіді Венеціанської комісії «Про верховенство права» (Venice Commission: the Rule of Law) № 512/2009, прийнятій на 86-му пленарному засіданні 25-26 березня 2011 року, правовладдя </w:t>
      </w:r>
      <w:r w:rsidRPr="00D32F25">
        <w:rPr>
          <w:rFonts w:ascii="Times New Roman" w:eastAsia="Times New Roman" w:hAnsi="Times New Roman" w:cs="Times New Roman"/>
          <w:bCs/>
          <w:kern w:val="0"/>
          <w:sz w:val="28"/>
          <w:szCs w:val="28"/>
          <w:lang w:eastAsia="uk-UA"/>
          <w14:ligatures w14:val="none"/>
        </w:rPr>
        <w:t xml:space="preserve">є однією із засадничих цінностей Ради Європи та націлене на забезпечення несуперечливих, справедливих та ефективних рішень [16]. З огляду на це, тлумачення закону крізь призму волі законодавця має слугувати саме цій меті, забезпечуючи, щоб регулятивна функція закону була реалізована відповідно до </w:t>
      </w:r>
      <w:r w:rsidR="00597328" w:rsidRPr="00D32F25">
        <w:rPr>
          <w:rFonts w:ascii="Times New Roman" w:eastAsia="Times New Roman" w:hAnsi="Times New Roman" w:cs="Times New Roman"/>
          <w:bCs/>
          <w:kern w:val="0"/>
          <w:sz w:val="28"/>
          <w:szCs w:val="28"/>
          <w:lang w:eastAsia="uk-UA"/>
          <w14:ligatures w14:val="none"/>
        </w:rPr>
        <w:t xml:space="preserve">його </w:t>
      </w:r>
      <w:r w:rsidRPr="00D32F25">
        <w:rPr>
          <w:rFonts w:ascii="Times New Roman" w:eastAsia="Times New Roman" w:hAnsi="Times New Roman" w:cs="Times New Roman"/>
          <w:bCs/>
          <w:kern w:val="0"/>
          <w:sz w:val="28"/>
          <w:szCs w:val="28"/>
          <w:lang w:eastAsia="uk-UA"/>
          <w14:ligatures w14:val="none"/>
        </w:rPr>
        <w:t>духу і букви [17, с. 23].</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Отже, т</w:t>
      </w:r>
      <w:r w:rsidRPr="00D32F25">
        <w:rPr>
          <w:rFonts w:ascii="Times New Roman" w:eastAsia="Times New Roman" w:hAnsi="Times New Roman" w:cs="Times New Roman"/>
          <w:kern w:val="0"/>
          <w:sz w:val="28"/>
          <w:szCs w:val="28"/>
          <w:lang w:eastAsia="uk-UA"/>
          <w14:ligatures w14:val="none"/>
        </w:rPr>
        <w:t xml:space="preserve">елеологічне тлумачення норми права – це спосіб з’ясування справжньої мети норми права </w:t>
      </w:r>
      <w:r w:rsidR="00D27DE6" w:rsidRPr="00D32F25">
        <w:rPr>
          <w:rFonts w:ascii="Times New Roman" w:eastAsia="Times New Roman" w:hAnsi="Times New Roman" w:cs="Times New Roman"/>
          <w:kern w:val="0"/>
          <w:sz w:val="28"/>
          <w:szCs w:val="28"/>
          <w:lang w:eastAsia="uk-UA"/>
          <w14:ligatures w14:val="none"/>
        </w:rPr>
        <w:t>(</w:t>
      </w:r>
      <w:r w:rsidRPr="00D32F25">
        <w:rPr>
          <w:rFonts w:ascii="Times New Roman" w:eastAsia="Times New Roman" w:hAnsi="Times New Roman" w:cs="Times New Roman"/>
          <w:kern w:val="0"/>
          <w:sz w:val="28"/>
          <w:szCs w:val="28"/>
          <w:lang w:eastAsia="uk-UA"/>
          <w14:ligatures w14:val="none"/>
        </w:rPr>
        <w:t xml:space="preserve">духу закону), яку прагнув досягти законодавець </w:t>
      </w:r>
      <w:r w:rsidR="003078D0">
        <w:rPr>
          <w:rFonts w:ascii="Times New Roman" w:eastAsia="Times New Roman" w:hAnsi="Times New Roman" w:cs="Times New Roman"/>
          <w:kern w:val="0"/>
          <w:sz w:val="28"/>
          <w:szCs w:val="28"/>
          <w:lang w:eastAsia="uk-UA"/>
          <w14:ligatures w14:val="none"/>
        </w:rPr>
        <w:t xml:space="preserve">під час </w:t>
      </w:r>
      <w:r w:rsidRPr="00D32F25">
        <w:rPr>
          <w:rFonts w:ascii="Times New Roman" w:eastAsia="Times New Roman" w:hAnsi="Times New Roman" w:cs="Times New Roman"/>
          <w:kern w:val="0"/>
          <w:sz w:val="28"/>
          <w:szCs w:val="28"/>
          <w:lang w:eastAsia="uk-UA"/>
          <w14:ligatures w14:val="none"/>
        </w:rPr>
        <w:t>прий</w:t>
      </w:r>
      <w:r w:rsidR="003078D0">
        <w:rPr>
          <w:rFonts w:ascii="Times New Roman" w:eastAsia="Times New Roman" w:hAnsi="Times New Roman" w:cs="Times New Roman"/>
          <w:kern w:val="0"/>
          <w:sz w:val="28"/>
          <w:szCs w:val="28"/>
          <w:lang w:eastAsia="uk-UA"/>
          <w14:ligatures w14:val="none"/>
        </w:rPr>
        <w:t>няття</w:t>
      </w:r>
      <w:r w:rsidRPr="00D32F25">
        <w:rPr>
          <w:rFonts w:ascii="Times New Roman" w:eastAsia="Times New Roman" w:hAnsi="Times New Roman" w:cs="Times New Roman"/>
          <w:kern w:val="0"/>
          <w:sz w:val="28"/>
          <w:szCs w:val="28"/>
          <w:lang w:eastAsia="uk-UA"/>
          <w14:ligatures w14:val="none"/>
        </w:rPr>
        <w:t xml:space="preserve"> відповідн</w:t>
      </w:r>
      <w:r w:rsidR="003078D0">
        <w:rPr>
          <w:rFonts w:ascii="Times New Roman" w:eastAsia="Times New Roman" w:hAnsi="Times New Roman" w:cs="Times New Roman"/>
          <w:kern w:val="0"/>
          <w:sz w:val="28"/>
          <w:szCs w:val="28"/>
          <w:lang w:eastAsia="uk-UA"/>
          <w14:ligatures w14:val="none"/>
        </w:rPr>
        <w:t>ого</w:t>
      </w:r>
      <w:r w:rsidRPr="00D32F25">
        <w:rPr>
          <w:rFonts w:ascii="Times New Roman" w:eastAsia="Times New Roman" w:hAnsi="Times New Roman" w:cs="Times New Roman"/>
          <w:kern w:val="0"/>
          <w:sz w:val="28"/>
          <w:szCs w:val="28"/>
          <w:lang w:eastAsia="uk-UA"/>
          <w14:ligatures w14:val="none"/>
        </w:rPr>
        <w:t xml:space="preserve"> акт</w:t>
      </w:r>
      <w:r w:rsidR="003078D0">
        <w:rPr>
          <w:rFonts w:ascii="Times New Roman" w:eastAsia="Times New Roman" w:hAnsi="Times New Roman" w:cs="Times New Roman"/>
          <w:kern w:val="0"/>
          <w:sz w:val="28"/>
          <w:szCs w:val="28"/>
          <w:lang w:eastAsia="uk-UA"/>
          <w14:ligatures w14:val="none"/>
        </w:rPr>
        <w:t>а</w:t>
      </w:r>
      <w:r w:rsidRPr="00D32F25">
        <w:rPr>
          <w:rFonts w:ascii="Times New Roman" w:eastAsia="Times New Roman" w:hAnsi="Times New Roman" w:cs="Times New Roman"/>
          <w:kern w:val="0"/>
          <w:sz w:val="28"/>
          <w:szCs w:val="28"/>
          <w:lang w:eastAsia="uk-UA"/>
          <w14:ligatures w14:val="none"/>
        </w:rPr>
        <w:t xml:space="preserve">, шляхом аналізу підготовчих матеріалів проєкту </w:t>
      </w:r>
      <w:r w:rsidR="00DF0FC5" w:rsidRPr="00D32F25">
        <w:rPr>
          <w:rFonts w:ascii="Times New Roman" w:eastAsia="Times New Roman" w:hAnsi="Times New Roman" w:cs="Times New Roman"/>
          <w:kern w:val="0"/>
          <w:sz w:val="28"/>
          <w:szCs w:val="28"/>
          <w:lang w:eastAsia="uk-UA"/>
          <w14:ligatures w14:val="none"/>
        </w:rPr>
        <w:t xml:space="preserve">акта </w:t>
      </w:r>
      <w:r w:rsidRPr="00D32F25">
        <w:rPr>
          <w:rFonts w:ascii="Times New Roman" w:eastAsia="Times New Roman" w:hAnsi="Times New Roman" w:cs="Times New Roman"/>
          <w:kern w:val="0"/>
          <w:sz w:val="28"/>
          <w:szCs w:val="28"/>
          <w:lang w:eastAsia="uk-UA"/>
          <w14:ligatures w14:val="none"/>
        </w:rPr>
        <w:t xml:space="preserve">та контексту, що є необхідним для </w:t>
      </w:r>
      <w:r w:rsidR="00873162" w:rsidRPr="00D32F25">
        <w:rPr>
          <w:rFonts w:ascii="Times New Roman" w:hAnsi="Times New Roman" w:cs="Times New Roman"/>
          <w:sz w:val="28"/>
          <w:szCs w:val="28"/>
        </w:rPr>
        <w:t>подолання прогалин і вирішення колізій</w:t>
      </w:r>
      <w:r w:rsidRPr="00D32F25">
        <w:rPr>
          <w:rFonts w:ascii="Times New Roman" w:eastAsia="Times New Roman" w:hAnsi="Times New Roman" w:cs="Times New Roman"/>
          <w:kern w:val="0"/>
          <w:sz w:val="28"/>
          <w:szCs w:val="28"/>
          <w:lang w:eastAsia="uk-UA"/>
          <w14:ligatures w14:val="none"/>
        </w:rPr>
        <w:t>, а також з метою забезпечення верховенства права.</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i/>
          <w:iCs/>
          <w:kern w:val="0"/>
          <w:sz w:val="28"/>
          <w:szCs w:val="28"/>
          <w:lang w:eastAsia="uk-UA"/>
          <w14:ligatures w14:val="none"/>
        </w:rPr>
      </w:pP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i/>
          <w:iCs/>
          <w:kern w:val="0"/>
          <w:sz w:val="28"/>
          <w:szCs w:val="28"/>
          <w:lang w:eastAsia="uk-UA"/>
          <w14:ligatures w14:val="none"/>
        </w:rPr>
      </w:pPr>
      <w:r w:rsidRPr="00D32F25">
        <w:rPr>
          <w:rFonts w:ascii="Times New Roman" w:eastAsia="Times New Roman" w:hAnsi="Times New Roman" w:cs="Times New Roman"/>
          <w:i/>
          <w:iCs/>
          <w:kern w:val="0"/>
          <w:sz w:val="28"/>
          <w:szCs w:val="28"/>
          <w:lang w:eastAsia="uk-UA"/>
          <w14:ligatures w14:val="none"/>
        </w:rPr>
        <w:t>2. Інструменти телеологічного тлумачення норм права</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У науковій літературі зауважується, що дороговказом для визначення дійсної мети прийняття закону (волі законодавця), зазвичай, є: історія видання закону та інформація про стан справ «до закону» (історичний критерій); матеріали щодо його розробки (обґрунтування і протоколи обговорення), що містять мотиви, які відображають цілі правової політики; текст самого закону (преамбула або інший контекст) [11].</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 xml:space="preserve">Більше того, неоднозначності тлумачення повноважень органів публічної влади можливо уникнути шляхом посилання на преамбулу відповідного </w:t>
      </w:r>
      <w:r w:rsidRPr="00D32F25">
        <w:rPr>
          <w:rFonts w:ascii="Times New Roman" w:eastAsia="Times New Roman" w:hAnsi="Times New Roman" w:cs="Times New Roman"/>
          <w:bCs/>
          <w:kern w:val="0"/>
          <w:sz w:val="28"/>
          <w:szCs w:val="28"/>
          <w:lang w:eastAsia="uk-UA"/>
          <w14:ligatures w14:val="none"/>
        </w:rPr>
        <w:lastRenderedPageBreak/>
        <w:t>законодавства або на підготовчі документи, які напрацьовуються для його ухвалення, за умови, що це дозволено національним законодавством [18, с. 12-13].</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 xml:space="preserve">Важливі аспекти досліджуваного питання вже унормовані у Законі України «Про правотворчу діяльність», який набрав чинності та буде введений у дію через один рік з дня припинення або скасування воєнного стану в Україні (п. 1 Розділу </w:t>
      </w:r>
      <w:r w:rsidRPr="00D32F25">
        <w:rPr>
          <w:rFonts w:ascii="Times New Roman" w:eastAsia="Times New Roman" w:hAnsi="Times New Roman" w:cs="Times New Roman"/>
          <w:kern w:val="0"/>
          <w:sz w:val="28"/>
          <w:szCs w:val="28"/>
          <w:lang w:eastAsia="uk-UA"/>
          <w14:ligatures w14:val="none"/>
        </w:rPr>
        <w:t>XIV</w:t>
      </w:r>
      <w:r w:rsidRPr="00D32F25">
        <w:rPr>
          <w:rFonts w:ascii="Times New Roman" w:eastAsia="Times New Roman" w:hAnsi="Times New Roman" w:cs="Times New Roman"/>
          <w:bCs/>
          <w:kern w:val="0"/>
          <w:sz w:val="28"/>
          <w:szCs w:val="28"/>
          <w:lang w:eastAsia="uk-UA"/>
          <w14:ligatures w14:val="none"/>
        </w:rPr>
        <w:t xml:space="preserve"> «Прикінцеві положення»). </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 xml:space="preserve">Так, відповідно до ст. 30 цього Закону суб’єкт правотворчої ініціативи здійснює оцінку впливу проекту нормативно-правового акта на суспільні відносини та викладає у пояснювальній записці, зокрема, актуальність та важливість проблеми, яка потребує врегулювання шляхом прийняття (видання) акта, а також найбільш оптимальний шлях вирішення проблеми з поясненням причинно-наслідкового зв’язку між обраним шляхом та очікуваним впливом на суспільні відносини проекту нормативно-правового акта [19]. </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Таким чином, саме пояснювальна записка до закону є одним з найважливіших документів та, відповідно, інструментів тлумачення, які дають можливість зрозуміти дійсну волю законодавця.</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До введення у дію згаданого вище Закону України «Про правотворчу діяльність» зміст та значення пояснювальної записки та інших підготовчих матеріалів про проєкт нормативно-правового акта (зокрема, протоколів, стенограм засідання тощо) визначаються окремими актами законодавства.</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Зокрема, відповідно до ч. 1 ст. 91 Закону України «Про Регламент Верховної Ради України» законопроект, проект іншого акта вноситься на реєстрацію разом</w:t>
      </w:r>
      <w:r w:rsidR="00C54CEF">
        <w:rPr>
          <w:rFonts w:ascii="Times New Roman" w:eastAsia="Times New Roman" w:hAnsi="Times New Roman" w:cs="Times New Roman"/>
          <w:bCs/>
          <w:kern w:val="0"/>
          <w:sz w:val="28"/>
          <w:szCs w:val="28"/>
          <w:lang w:eastAsia="uk-UA"/>
          <w14:ligatures w14:val="none"/>
        </w:rPr>
        <w:t xml:space="preserve"> з</w:t>
      </w:r>
      <w:r w:rsidRPr="00D32F25">
        <w:rPr>
          <w:rFonts w:ascii="Times New Roman" w:eastAsia="Times New Roman" w:hAnsi="Times New Roman" w:cs="Times New Roman"/>
          <w:bCs/>
          <w:kern w:val="0"/>
          <w:sz w:val="28"/>
          <w:szCs w:val="28"/>
          <w:lang w:eastAsia="uk-UA"/>
          <w14:ligatures w14:val="none"/>
        </w:rPr>
        <w:t xml:space="preserve"> пояснювальною запискою, яка має містити:</w:t>
      </w:r>
      <w:bookmarkStart w:id="0" w:name="n755"/>
      <w:bookmarkEnd w:id="0"/>
      <w:r w:rsidRPr="00D32F25">
        <w:rPr>
          <w:rFonts w:ascii="Times New Roman" w:eastAsia="Times New Roman" w:hAnsi="Times New Roman" w:cs="Times New Roman"/>
          <w:bCs/>
          <w:kern w:val="0"/>
          <w:sz w:val="28"/>
          <w:szCs w:val="28"/>
          <w:lang w:eastAsia="uk-UA"/>
          <w14:ligatures w14:val="none"/>
        </w:rPr>
        <w:t xml:space="preserve"> 1) обґрунтування необхідності прийняття законопроекту, цілей, завдань і основних його положень та місця в системі законодавства; </w:t>
      </w:r>
      <w:bookmarkStart w:id="1" w:name="n756"/>
      <w:bookmarkEnd w:id="1"/>
      <w:r w:rsidRPr="00D32F25">
        <w:rPr>
          <w:rFonts w:ascii="Times New Roman" w:eastAsia="Times New Roman" w:hAnsi="Times New Roman" w:cs="Times New Roman"/>
          <w:bCs/>
          <w:kern w:val="0"/>
          <w:sz w:val="28"/>
          <w:szCs w:val="28"/>
          <w:lang w:eastAsia="uk-UA"/>
          <w14:ligatures w14:val="none"/>
        </w:rPr>
        <w:t xml:space="preserve">2) обґрунтування очікуваних соціально-економічних, правових та інших наслідків застосування закону після його прийняття; </w:t>
      </w:r>
      <w:bookmarkStart w:id="2" w:name="n757"/>
      <w:bookmarkEnd w:id="2"/>
      <w:r w:rsidRPr="00D32F25">
        <w:rPr>
          <w:rFonts w:ascii="Times New Roman" w:eastAsia="Times New Roman" w:hAnsi="Times New Roman" w:cs="Times New Roman"/>
          <w:bCs/>
          <w:kern w:val="0"/>
          <w:sz w:val="28"/>
          <w:szCs w:val="28"/>
          <w:lang w:eastAsia="uk-UA"/>
          <w14:ligatures w14:val="none"/>
        </w:rPr>
        <w:t>3) інші відомості, необхідні для розгляду законопроекту, в тому числі відомості про аналітичні матеріали суб’єктів лобіювання в разі їх надання [20].</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 xml:space="preserve">Окрім того, за змістом ч. 1 ст. 54 цього ж Закону пленарне засідання Верховної Ради протоколюється, а у ст. 55 зазначається, що відповідне засідання також стенографується. При цьому визначено, що до стенографічного бюлетеня </w:t>
      </w:r>
      <w:r w:rsidRPr="00D32F25">
        <w:rPr>
          <w:rFonts w:ascii="Times New Roman" w:eastAsia="Times New Roman" w:hAnsi="Times New Roman" w:cs="Times New Roman"/>
          <w:bCs/>
          <w:kern w:val="0"/>
          <w:sz w:val="28"/>
          <w:szCs w:val="28"/>
          <w:lang w:eastAsia="uk-UA"/>
          <w14:ligatures w14:val="none"/>
        </w:rPr>
        <w:lastRenderedPageBreak/>
        <w:t>пленарного засідання додатково включаються</w:t>
      </w:r>
      <w:r w:rsidR="00AF2B99" w:rsidRPr="00D32F25">
        <w:rPr>
          <w:rFonts w:ascii="Times New Roman" w:eastAsia="Times New Roman" w:hAnsi="Times New Roman" w:cs="Times New Roman"/>
          <w:bCs/>
          <w:kern w:val="0"/>
          <w:sz w:val="28"/>
          <w:szCs w:val="28"/>
          <w:lang w:eastAsia="uk-UA"/>
          <w14:ligatures w14:val="none"/>
        </w:rPr>
        <w:t>, зокрема,</w:t>
      </w:r>
      <w:r w:rsidRPr="00D32F25">
        <w:rPr>
          <w:rFonts w:ascii="Times New Roman" w:eastAsia="Times New Roman" w:hAnsi="Times New Roman" w:cs="Times New Roman"/>
          <w:bCs/>
          <w:kern w:val="0"/>
          <w:sz w:val="28"/>
          <w:szCs w:val="28"/>
          <w:lang w:eastAsia="uk-UA"/>
          <w14:ligatures w14:val="none"/>
        </w:rPr>
        <w:t xml:space="preserve"> </w:t>
      </w:r>
      <w:bookmarkStart w:id="3" w:name="n448"/>
      <w:bookmarkStart w:id="4" w:name="n452"/>
      <w:bookmarkEnd w:id="3"/>
      <w:bookmarkEnd w:id="4"/>
      <w:r w:rsidRPr="00D32F25">
        <w:rPr>
          <w:rFonts w:ascii="Times New Roman" w:eastAsia="Times New Roman" w:hAnsi="Times New Roman" w:cs="Times New Roman"/>
          <w:bCs/>
          <w:kern w:val="0"/>
          <w:sz w:val="28"/>
          <w:szCs w:val="28"/>
          <w:lang w:eastAsia="uk-UA"/>
          <w14:ligatures w14:val="none"/>
        </w:rPr>
        <w:t xml:space="preserve">висновки комітетів, тимчасових спеціальних комісій, тимчасових слідчих комісій щодо питань, якщо вони надавалися народним депутатам; </w:t>
      </w:r>
      <w:bookmarkStart w:id="5" w:name="n453"/>
      <w:bookmarkEnd w:id="5"/>
      <w:r w:rsidRPr="00D32F25">
        <w:rPr>
          <w:rFonts w:ascii="Times New Roman" w:eastAsia="Times New Roman" w:hAnsi="Times New Roman" w:cs="Times New Roman"/>
          <w:bCs/>
          <w:kern w:val="0"/>
          <w:sz w:val="28"/>
          <w:szCs w:val="28"/>
          <w:lang w:eastAsia="uk-UA"/>
          <w14:ligatures w14:val="none"/>
        </w:rPr>
        <w:t xml:space="preserve">тексти невиголошених виступів народних депутатів; </w:t>
      </w:r>
      <w:bookmarkStart w:id="6" w:name="n454"/>
      <w:bookmarkEnd w:id="6"/>
      <w:r w:rsidRPr="00D32F25">
        <w:rPr>
          <w:rFonts w:ascii="Times New Roman" w:eastAsia="Times New Roman" w:hAnsi="Times New Roman" w:cs="Times New Roman"/>
          <w:bCs/>
          <w:kern w:val="0"/>
          <w:sz w:val="28"/>
          <w:szCs w:val="28"/>
          <w:lang w:eastAsia="uk-UA"/>
          <w14:ligatures w14:val="none"/>
        </w:rPr>
        <w:t>текст окремої думки народних депутатів щодо прийнятих Верховною Радою законів, постанов, інших актів Верховної Ради</w:t>
      </w:r>
      <w:bookmarkStart w:id="7" w:name="n455"/>
      <w:bookmarkEnd w:id="7"/>
      <w:r w:rsidR="00AF2B99" w:rsidRPr="00D32F25">
        <w:rPr>
          <w:rFonts w:ascii="Times New Roman" w:eastAsia="Times New Roman" w:hAnsi="Times New Roman" w:cs="Times New Roman"/>
          <w:bCs/>
          <w:kern w:val="0"/>
          <w:sz w:val="28"/>
          <w:szCs w:val="28"/>
          <w:lang w:eastAsia="uk-UA"/>
          <w14:ligatures w14:val="none"/>
        </w:rPr>
        <w:t xml:space="preserve"> </w:t>
      </w:r>
      <w:r w:rsidRPr="00D32F25">
        <w:rPr>
          <w:rFonts w:ascii="Times New Roman" w:eastAsia="Times New Roman" w:hAnsi="Times New Roman" w:cs="Times New Roman"/>
          <w:bCs/>
          <w:kern w:val="0"/>
          <w:sz w:val="28"/>
          <w:szCs w:val="28"/>
          <w:lang w:eastAsia="uk-UA"/>
          <w14:ligatures w14:val="none"/>
        </w:rPr>
        <w:t>[21].</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Також щодо нормативно-правових актів Президента України слід звернути увагу, що згідно з Указом Президента України «Про Положення про порядок підготовки та внесення проектів актів Президента України» пояснювальна записка до проекту акта Президента України має містити обґрунтування необхідності видання акта, характеристику його основних положень, інформацію про нормативн</w:t>
      </w:r>
      <w:r w:rsidR="0049045C" w:rsidRPr="00D32F25">
        <w:rPr>
          <w:rFonts w:ascii="Times New Roman" w:eastAsia="Times New Roman" w:hAnsi="Times New Roman" w:cs="Times New Roman"/>
          <w:bCs/>
          <w:kern w:val="0"/>
          <w:sz w:val="28"/>
          <w:szCs w:val="28"/>
          <w:lang w:eastAsia="uk-UA"/>
          <w14:ligatures w14:val="none"/>
        </w:rPr>
        <w:t>е</w:t>
      </w:r>
      <w:r w:rsidRPr="00D32F25">
        <w:rPr>
          <w:rFonts w:ascii="Times New Roman" w:eastAsia="Times New Roman" w:hAnsi="Times New Roman" w:cs="Times New Roman"/>
          <w:bCs/>
          <w:kern w:val="0"/>
          <w:sz w:val="28"/>
          <w:szCs w:val="28"/>
          <w:lang w:eastAsia="uk-UA"/>
          <w14:ligatures w14:val="none"/>
        </w:rPr>
        <w:t xml:space="preserve"> регулювання відповідного питання, прогноз очікуваних політичних, соціально-економічних, правових наслідків його виконання, а також інформацію про вплив видання акта Президента України на видаткову, доходну частину державного бюджету [22]. </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Окрім того, відповідно до Указу Президента України “Про затвердження Положення про порядок роботи з законопроектами та іншими документами, що вносяться Президентом України на розгляд Верховної Ради” законопроекти, підготовлені для внесення на розгляд Верховної Ради України за ініціативою Президента України, супроводжуються пояснювальною запискою, яка повинна містити обґрунтування необхід</w:t>
      </w:r>
      <w:r w:rsidR="00AF2B99" w:rsidRPr="00D32F25">
        <w:rPr>
          <w:rFonts w:ascii="Times New Roman" w:eastAsia="Times New Roman" w:hAnsi="Times New Roman" w:cs="Times New Roman"/>
          <w:bCs/>
          <w:kern w:val="0"/>
          <w:sz w:val="28"/>
          <w:szCs w:val="28"/>
          <w:lang w:eastAsia="uk-UA"/>
          <w14:ligatures w14:val="none"/>
        </w:rPr>
        <w:t>ності прийняття проекту закону</w:t>
      </w:r>
      <w:r w:rsidRPr="00D32F25">
        <w:rPr>
          <w:rFonts w:ascii="Times New Roman" w:eastAsia="Times New Roman" w:hAnsi="Times New Roman" w:cs="Times New Roman"/>
          <w:bCs/>
          <w:kern w:val="0"/>
          <w:sz w:val="28"/>
          <w:szCs w:val="28"/>
          <w:lang w:eastAsia="uk-UA"/>
          <w14:ligatures w14:val="none"/>
        </w:rPr>
        <w:t>, а також на очікувані соціально-економічні та інші результати застосування [23].</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 xml:space="preserve">Під час розробки проєкту акта Кабінету Міністрів України на підставі ч. 1 </w:t>
      </w:r>
      <w:r w:rsidRPr="00D32F25">
        <w:rPr>
          <w:rFonts w:ascii="Times New Roman" w:eastAsia="Times New Roman" w:hAnsi="Times New Roman" w:cs="Times New Roman"/>
          <w:kern w:val="0"/>
          <w:sz w:val="28"/>
          <w:szCs w:val="28"/>
          <w:lang w:eastAsia="uk-UA"/>
          <w14:ligatures w14:val="none"/>
        </w:rPr>
        <w:t>§ 50</w:t>
      </w:r>
      <w:r w:rsidRPr="00D32F25">
        <w:rPr>
          <w:rFonts w:ascii="Times New Roman" w:eastAsia="Times New Roman" w:hAnsi="Times New Roman" w:cs="Times New Roman"/>
          <w:bCs/>
          <w:kern w:val="0"/>
          <w:sz w:val="28"/>
          <w:szCs w:val="28"/>
          <w:lang w:eastAsia="uk-UA"/>
          <w14:ligatures w14:val="none"/>
        </w:rPr>
        <w:t xml:space="preserve"> Регламенту Кабінету Міністрів України до нього додаються: </w:t>
      </w:r>
      <w:bookmarkStart w:id="8" w:name="n329"/>
      <w:bookmarkEnd w:id="8"/>
      <w:r w:rsidRPr="00D32F25">
        <w:rPr>
          <w:rFonts w:ascii="Times New Roman" w:eastAsia="Times New Roman" w:hAnsi="Times New Roman" w:cs="Times New Roman"/>
          <w:bCs/>
          <w:kern w:val="0"/>
          <w:sz w:val="28"/>
          <w:szCs w:val="28"/>
          <w:lang w:eastAsia="uk-UA"/>
          <w14:ligatures w14:val="none"/>
        </w:rPr>
        <w:t xml:space="preserve">1) пояснювальна записка, </w:t>
      </w:r>
      <w:r w:rsidR="00AF2B99" w:rsidRPr="00D32F25">
        <w:rPr>
          <w:rFonts w:ascii="Times New Roman" w:eastAsia="Times New Roman" w:hAnsi="Times New Roman" w:cs="Times New Roman"/>
          <w:bCs/>
          <w:kern w:val="0"/>
          <w:sz w:val="28"/>
          <w:szCs w:val="28"/>
          <w:lang w:eastAsia="uk-UA"/>
          <w14:ligatures w14:val="none"/>
        </w:rPr>
        <w:t>яка містить</w:t>
      </w:r>
      <w:r w:rsidRPr="00D32F25">
        <w:rPr>
          <w:rFonts w:ascii="Times New Roman" w:eastAsia="Times New Roman" w:hAnsi="Times New Roman" w:cs="Times New Roman"/>
          <w:bCs/>
          <w:kern w:val="0"/>
          <w:sz w:val="28"/>
          <w:szCs w:val="28"/>
          <w:lang w:eastAsia="uk-UA"/>
          <w14:ligatures w14:val="none"/>
        </w:rPr>
        <w:t xml:space="preserve"> </w:t>
      </w:r>
      <w:bookmarkStart w:id="9" w:name="n1939"/>
      <w:bookmarkStart w:id="10" w:name="n1933"/>
      <w:bookmarkEnd w:id="9"/>
      <w:bookmarkEnd w:id="10"/>
      <w:r w:rsidRPr="00D32F25">
        <w:rPr>
          <w:rFonts w:ascii="Times New Roman" w:eastAsia="Times New Roman" w:hAnsi="Times New Roman" w:cs="Times New Roman"/>
          <w:bCs/>
          <w:kern w:val="0"/>
          <w:sz w:val="28"/>
          <w:szCs w:val="28"/>
          <w:lang w:eastAsia="uk-UA"/>
          <w14:ligatures w14:val="none"/>
        </w:rPr>
        <w:t>фінансово-економічні розрахунки;</w:t>
      </w:r>
      <w:bookmarkStart w:id="11" w:name="n1940"/>
      <w:bookmarkStart w:id="12" w:name="n1935"/>
      <w:bookmarkEnd w:id="11"/>
      <w:bookmarkEnd w:id="12"/>
      <w:r w:rsidRPr="00D32F25">
        <w:rPr>
          <w:rFonts w:ascii="Times New Roman" w:eastAsia="Times New Roman" w:hAnsi="Times New Roman" w:cs="Times New Roman"/>
          <w:bCs/>
          <w:kern w:val="0"/>
          <w:sz w:val="28"/>
          <w:szCs w:val="28"/>
          <w:lang w:eastAsia="uk-UA"/>
          <w14:ligatures w14:val="none"/>
        </w:rPr>
        <w:t xml:space="preserve"> пропозиції за результатами громадської антикорупційної та/або громадської антидискримінаційної експертизи проекту акта (у разі її проведення); </w:t>
      </w:r>
      <w:bookmarkStart w:id="13" w:name="n1942"/>
      <w:bookmarkStart w:id="14" w:name="n1936"/>
      <w:bookmarkEnd w:id="13"/>
      <w:bookmarkEnd w:id="14"/>
      <w:r w:rsidRPr="00D32F25">
        <w:rPr>
          <w:rFonts w:ascii="Times New Roman" w:eastAsia="Times New Roman" w:hAnsi="Times New Roman" w:cs="Times New Roman"/>
          <w:bCs/>
          <w:kern w:val="0"/>
          <w:sz w:val="28"/>
          <w:szCs w:val="28"/>
          <w:lang w:eastAsia="uk-UA"/>
          <w14:ligatures w14:val="none"/>
        </w:rPr>
        <w:t xml:space="preserve">звіт про стратегічну екологічну оцінку, довідки про консультації з органами виконавчої влади та про громадське обговорення; </w:t>
      </w:r>
      <w:bookmarkStart w:id="15" w:name="n1943"/>
      <w:bookmarkStart w:id="16" w:name="n1937"/>
      <w:bookmarkEnd w:id="15"/>
      <w:bookmarkEnd w:id="16"/>
      <w:r w:rsidRPr="00D32F25">
        <w:rPr>
          <w:rFonts w:ascii="Times New Roman" w:eastAsia="Times New Roman" w:hAnsi="Times New Roman" w:cs="Times New Roman"/>
          <w:bCs/>
          <w:kern w:val="0"/>
          <w:sz w:val="28"/>
          <w:szCs w:val="28"/>
          <w:lang w:eastAsia="uk-UA"/>
          <w14:ligatures w14:val="none"/>
        </w:rPr>
        <w:t>довідкові та інші інформаційно-аналітичні матеріали, що обґрунтовують необхідність прийняття акта (у разі потреби);</w:t>
      </w:r>
      <w:bookmarkStart w:id="17" w:name="n1944"/>
      <w:bookmarkStart w:id="18" w:name="n331"/>
      <w:bookmarkEnd w:id="17"/>
      <w:bookmarkEnd w:id="18"/>
      <w:r w:rsidRPr="00D32F25">
        <w:rPr>
          <w:rFonts w:ascii="Times New Roman" w:eastAsia="Times New Roman" w:hAnsi="Times New Roman" w:cs="Times New Roman"/>
          <w:bCs/>
          <w:kern w:val="0"/>
          <w:sz w:val="28"/>
          <w:szCs w:val="28"/>
          <w:lang w:eastAsia="uk-UA"/>
          <w14:ligatures w14:val="none"/>
        </w:rPr>
        <w:t xml:space="preserve"> 2) довідка про погодження проекту акта; </w:t>
      </w:r>
      <w:bookmarkStart w:id="19" w:name="n332"/>
      <w:bookmarkEnd w:id="19"/>
      <w:r w:rsidRPr="00D32F25">
        <w:rPr>
          <w:rFonts w:ascii="Times New Roman" w:eastAsia="Times New Roman" w:hAnsi="Times New Roman" w:cs="Times New Roman"/>
          <w:bCs/>
          <w:kern w:val="0"/>
          <w:sz w:val="28"/>
          <w:szCs w:val="28"/>
          <w:lang w:eastAsia="uk-UA"/>
          <w14:ligatures w14:val="none"/>
        </w:rPr>
        <w:t xml:space="preserve">3) протокол узгодження позицій (у разі потреби); </w:t>
      </w:r>
      <w:bookmarkStart w:id="20" w:name="n1946"/>
      <w:bookmarkEnd w:id="20"/>
      <w:r w:rsidRPr="00D32F25">
        <w:rPr>
          <w:rFonts w:ascii="Times New Roman" w:eastAsia="Times New Roman" w:hAnsi="Times New Roman" w:cs="Times New Roman"/>
          <w:bCs/>
          <w:kern w:val="0"/>
          <w:sz w:val="28"/>
          <w:szCs w:val="28"/>
          <w:lang w:eastAsia="uk-UA"/>
          <w14:ligatures w14:val="none"/>
        </w:rPr>
        <w:t>3</w:t>
      </w:r>
      <w:r w:rsidRPr="00D32F25">
        <w:rPr>
          <w:rFonts w:ascii="Times New Roman" w:eastAsia="Times New Roman" w:hAnsi="Times New Roman" w:cs="Times New Roman"/>
          <w:b/>
          <w:bCs/>
          <w:kern w:val="0"/>
          <w:sz w:val="28"/>
          <w:szCs w:val="28"/>
          <w:vertAlign w:val="superscript"/>
          <w:lang w:eastAsia="uk-UA"/>
          <w14:ligatures w14:val="none"/>
        </w:rPr>
        <w:t>-1</w:t>
      </w:r>
      <w:r w:rsidRPr="00D32F25">
        <w:rPr>
          <w:rFonts w:ascii="Times New Roman" w:eastAsia="Times New Roman" w:hAnsi="Times New Roman" w:cs="Times New Roman"/>
          <w:bCs/>
          <w:kern w:val="0"/>
          <w:sz w:val="28"/>
          <w:szCs w:val="28"/>
          <w:lang w:eastAsia="uk-UA"/>
          <w14:ligatures w14:val="none"/>
        </w:rPr>
        <w:t xml:space="preserve">) висновки Мінфіну, Мінекономіки та Мінцифри; </w:t>
      </w:r>
      <w:bookmarkStart w:id="21" w:name="n1945"/>
      <w:bookmarkStart w:id="22" w:name="n333"/>
      <w:bookmarkEnd w:id="21"/>
      <w:bookmarkEnd w:id="22"/>
      <w:r w:rsidRPr="00D32F25">
        <w:rPr>
          <w:rFonts w:ascii="Times New Roman" w:eastAsia="Times New Roman" w:hAnsi="Times New Roman" w:cs="Times New Roman"/>
          <w:bCs/>
          <w:kern w:val="0"/>
          <w:sz w:val="28"/>
          <w:szCs w:val="28"/>
          <w:lang w:eastAsia="uk-UA"/>
          <w14:ligatures w14:val="none"/>
        </w:rPr>
        <w:t xml:space="preserve">4) висновок Мін’юсту; </w:t>
      </w:r>
      <w:bookmarkStart w:id="23" w:name="n1459"/>
      <w:bookmarkStart w:id="24" w:name="n1461"/>
      <w:bookmarkEnd w:id="23"/>
      <w:bookmarkEnd w:id="24"/>
      <w:r w:rsidRPr="00D32F25">
        <w:rPr>
          <w:rFonts w:ascii="Times New Roman" w:eastAsia="Times New Roman" w:hAnsi="Times New Roman" w:cs="Times New Roman"/>
          <w:bCs/>
          <w:kern w:val="0"/>
          <w:sz w:val="28"/>
          <w:szCs w:val="28"/>
          <w:lang w:eastAsia="uk-UA"/>
          <w14:ligatures w14:val="none"/>
        </w:rPr>
        <w:t>4</w:t>
      </w:r>
      <w:r w:rsidRPr="00D32F25">
        <w:rPr>
          <w:rFonts w:ascii="Times New Roman" w:eastAsia="Times New Roman" w:hAnsi="Times New Roman" w:cs="Times New Roman"/>
          <w:b/>
          <w:bCs/>
          <w:kern w:val="0"/>
          <w:sz w:val="28"/>
          <w:szCs w:val="28"/>
          <w:vertAlign w:val="superscript"/>
          <w:lang w:eastAsia="uk-UA"/>
          <w14:ligatures w14:val="none"/>
        </w:rPr>
        <w:t>-1</w:t>
      </w:r>
      <w:r w:rsidRPr="00D32F25">
        <w:rPr>
          <w:rFonts w:ascii="Times New Roman" w:eastAsia="Times New Roman" w:hAnsi="Times New Roman" w:cs="Times New Roman"/>
          <w:bCs/>
          <w:kern w:val="0"/>
          <w:sz w:val="28"/>
          <w:szCs w:val="28"/>
          <w:lang w:eastAsia="uk-UA"/>
          <w14:ligatures w14:val="none"/>
        </w:rPr>
        <w:t xml:space="preserve">) довідка, зазначена у пункті </w:t>
      </w:r>
      <w:r w:rsidRPr="00D32F25">
        <w:rPr>
          <w:rFonts w:ascii="Times New Roman" w:eastAsia="Times New Roman" w:hAnsi="Times New Roman" w:cs="Times New Roman"/>
          <w:bCs/>
          <w:kern w:val="0"/>
          <w:sz w:val="28"/>
          <w:szCs w:val="28"/>
          <w:lang w:eastAsia="uk-UA"/>
          <w14:ligatures w14:val="none"/>
        </w:rPr>
        <w:lastRenderedPageBreak/>
        <w:t xml:space="preserve">3 § 35 цього Регламенту (до проектів актів, зазначених у пункті 1 § 35 цього Регламенту); </w:t>
      </w:r>
      <w:bookmarkStart w:id="25" w:name="n1460"/>
      <w:bookmarkStart w:id="26" w:name="n3446"/>
      <w:bookmarkEnd w:id="25"/>
      <w:bookmarkEnd w:id="26"/>
      <w:r w:rsidRPr="00D32F25">
        <w:rPr>
          <w:rFonts w:ascii="Times New Roman" w:eastAsia="Times New Roman" w:hAnsi="Times New Roman" w:cs="Times New Roman"/>
          <w:bCs/>
          <w:kern w:val="0"/>
          <w:sz w:val="28"/>
          <w:szCs w:val="28"/>
          <w:lang w:eastAsia="uk-UA"/>
          <w14:ligatures w14:val="none"/>
        </w:rPr>
        <w:t>4</w:t>
      </w:r>
      <w:r w:rsidRPr="00D32F25">
        <w:rPr>
          <w:rFonts w:ascii="Times New Roman" w:eastAsia="Times New Roman" w:hAnsi="Times New Roman" w:cs="Times New Roman"/>
          <w:b/>
          <w:bCs/>
          <w:kern w:val="0"/>
          <w:sz w:val="28"/>
          <w:szCs w:val="28"/>
          <w:vertAlign w:val="superscript"/>
          <w:lang w:eastAsia="uk-UA"/>
          <w14:ligatures w14:val="none"/>
        </w:rPr>
        <w:t>-2</w:t>
      </w:r>
      <w:r w:rsidRPr="00D32F25">
        <w:rPr>
          <w:rFonts w:ascii="Times New Roman" w:eastAsia="Times New Roman" w:hAnsi="Times New Roman" w:cs="Times New Roman"/>
          <w:bCs/>
          <w:kern w:val="0"/>
          <w:sz w:val="28"/>
          <w:szCs w:val="28"/>
          <w:lang w:eastAsia="uk-UA"/>
          <w14:ligatures w14:val="none"/>
        </w:rPr>
        <w:t xml:space="preserve">) висновок Європейської Комісії (у разі наявності); </w:t>
      </w:r>
      <w:bookmarkStart w:id="27" w:name="n3447"/>
      <w:bookmarkStart w:id="28" w:name="n334"/>
      <w:bookmarkEnd w:id="27"/>
      <w:bookmarkEnd w:id="28"/>
      <w:r w:rsidRPr="00D32F25">
        <w:rPr>
          <w:rFonts w:ascii="Times New Roman" w:eastAsia="Times New Roman" w:hAnsi="Times New Roman" w:cs="Times New Roman"/>
          <w:bCs/>
          <w:kern w:val="0"/>
          <w:sz w:val="28"/>
          <w:szCs w:val="28"/>
          <w:lang w:eastAsia="uk-UA"/>
          <w14:ligatures w14:val="none"/>
        </w:rPr>
        <w:t>5) порівняльна таблиця (якщо проектом акта передбачено внесення змін до інших актів Кабінету Міністрів) [23].</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Таким чином, регламентація вимог до пояснювальних записок, стенограм та інших підготовчих матеріалів у законодавстві України створює нормативну основу для використання цих підготовчих матеріалів як офіційного джерела з’ясування мети, цілей та обґрунтування актів, що є ключовим для застосування телеологічного тлумачення та уникнення невизначеності у правозастосовній практиці.</w:t>
      </w:r>
    </w:p>
    <w:p w:rsidR="00A1153D" w:rsidRPr="00D32F25" w:rsidRDefault="00A1153D"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Варто зауважити, що на відміну від правозастосовної практики 90-х років ХХ ст. та початку 2000-х років, коли підготовчі матеріали були фізично важкодоступними для суддів та учасників справи, процеси цифрової трансформації держави змінили методологічні можливості телеологічного тлумачення. Відкритість електронних реєстрів законопроєктів, онлайн-архівів стенограм пленарних засідань та оприлюднення пояснювальних записок у форматі відкритих даних дозволяють суб’єкту правозастосування оперативно реконструювати генезис норми. Це перетворює телеологічний спосіб тлумачення з теоретичної абстракції на доступний та верифікований інструмент судової аргументації.</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 xml:space="preserve">В аспекті дослідження інструментів телеологічного способу тлумачення норм права на підставі з’ясування волі законодавця важливо звернути увагу на те, що </w:t>
      </w:r>
      <w:r w:rsidR="00C54CEF">
        <w:rPr>
          <w:rFonts w:ascii="Times New Roman" w:eastAsia="Times New Roman" w:hAnsi="Times New Roman" w:cs="Times New Roman"/>
          <w:bCs/>
          <w:kern w:val="0"/>
          <w:sz w:val="28"/>
          <w:szCs w:val="28"/>
          <w:lang w:eastAsia="uk-UA"/>
          <w14:ligatures w14:val="none"/>
        </w:rPr>
        <w:t xml:space="preserve">у </w:t>
      </w:r>
      <w:r w:rsidRPr="00D32F25">
        <w:rPr>
          <w:rFonts w:ascii="Times New Roman" w:eastAsia="Times New Roman" w:hAnsi="Times New Roman" w:cs="Times New Roman"/>
          <w:bCs/>
          <w:kern w:val="0"/>
          <w:sz w:val="28"/>
          <w:szCs w:val="28"/>
          <w:lang w:eastAsia="uk-UA"/>
          <w14:ligatures w14:val="none"/>
        </w:rPr>
        <w:t xml:space="preserve">ВС </w:t>
      </w:r>
      <w:r w:rsidR="00C54CEF">
        <w:rPr>
          <w:rFonts w:ascii="Times New Roman" w:eastAsia="Times New Roman" w:hAnsi="Times New Roman" w:cs="Times New Roman"/>
          <w:bCs/>
          <w:kern w:val="0"/>
          <w:sz w:val="28"/>
          <w:szCs w:val="28"/>
          <w:lang w:eastAsia="uk-UA"/>
          <w14:ligatures w14:val="none"/>
        </w:rPr>
        <w:t>в</w:t>
      </w:r>
      <w:r w:rsidRPr="00D32F25">
        <w:rPr>
          <w:rFonts w:ascii="Times New Roman" w:eastAsia="Times New Roman" w:hAnsi="Times New Roman" w:cs="Times New Roman"/>
          <w:bCs/>
          <w:kern w:val="0"/>
          <w:sz w:val="28"/>
          <w:szCs w:val="28"/>
          <w:lang w:eastAsia="uk-UA"/>
          <w14:ligatures w14:val="none"/>
        </w:rPr>
        <w:t>же сформована певна практика стосовно порушеного питання, зокрема, у постановах від 19 листопада 2018 року у справі № 820/1835/18 [24], від 30 січня 2019 року у справі № 820/4521/18 [25] та від 30 березня 2020 року у справі № 820/1645/18 [26]. Відповідно до позиції ВС, викладеної у цих постановах, під час застосування норми права необхідно, враховуючи букву закону, обов`язково з’ясовувати: дійсну легітимну мету відповідного закону, яка встановлюється, зокрема, через аналіз пояснювальної записки до проєкту закону, стенограм пленарних засідань Верховної Ради України (виступу доповідача по цьому проекту під час його розгляду у першому читанні), висновків профільних комітетів та структурних підрозділів апарату парламенту, що здійснювали експертно-</w:t>
      </w:r>
      <w:r w:rsidRPr="00D32F25">
        <w:rPr>
          <w:rFonts w:ascii="Times New Roman" w:eastAsia="Times New Roman" w:hAnsi="Times New Roman" w:cs="Times New Roman"/>
          <w:bCs/>
          <w:kern w:val="0"/>
          <w:sz w:val="28"/>
          <w:szCs w:val="28"/>
          <w:lang w:eastAsia="uk-UA"/>
          <w14:ligatures w14:val="none"/>
        </w:rPr>
        <w:lastRenderedPageBreak/>
        <w:t>юридичний аналіз проекту закону тощо); дослідження генезису розвитку відповідних законодавчих змін; вивчення дійсної суті проблеми, що підлягала вирішенню на рівні прийняття закону.</w:t>
      </w:r>
    </w:p>
    <w:p w:rsidR="008513B9" w:rsidRPr="00D32F25" w:rsidRDefault="00AF2B9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Верховний Суд, н</w:t>
      </w:r>
      <w:r w:rsidR="008513B9" w:rsidRPr="00D32F25">
        <w:rPr>
          <w:rFonts w:ascii="Times New Roman" w:eastAsia="Times New Roman" w:hAnsi="Times New Roman" w:cs="Times New Roman"/>
          <w:bCs/>
          <w:kern w:val="0"/>
          <w:sz w:val="28"/>
          <w:szCs w:val="28"/>
          <w:lang w:eastAsia="uk-UA"/>
          <w14:ligatures w14:val="none"/>
        </w:rPr>
        <w:t xml:space="preserve">априклад, в аспекті надання тлумачення </w:t>
      </w:r>
      <w:r w:rsidR="008513B9" w:rsidRPr="00D32F25">
        <w:rPr>
          <w:rFonts w:ascii="Times New Roman" w:eastAsia="Times New Roman" w:hAnsi="Times New Roman" w:cs="Times New Roman"/>
          <w:bCs/>
          <w:iCs/>
          <w:kern w:val="0"/>
          <w:sz w:val="28"/>
          <w:szCs w:val="28"/>
          <w:lang w:eastAsia="uk-UA"/>
          <w14:ligatures w14:val="none"/>
        </w:rPr>
        <w:t xml:space="preserve">ч. 2 ст. 8 Закону України «Про судовий збір», відповідно до якої суду надається право </w:t>
      </w:r>
      <w:bookmarkStart w:id="29" w:name="n280"/>
      <w:bookmarkStart w:id="30" w:name="n101"/>
      <w:bookmarkEnd w:id="29"/>
      <w:bookmarkEnd w:id="30"/>
      <w:r w:rsidR="008513B9" w:rsidRPr="00D32F25">
        <w:rPr>
          <w:rFonts w:ascii="Times New Roman" w:eastAsia="Times New Roman" w:hAnsi="Times New Roman" w:cs="Times New Roman"/>
          <w:bCs/>
          <w:iCs/>
          <w:kern w:val="0"/>
          <w:sz w:val="28"/>
          <w:szCs w:val="28"/>
          <w:lang w:eastAsia="uk-UA"/>
          <w14:ligatures w14:val="none"/>
        </w:rPr>
        <w:t xml:space="preserve">зменшити розмір судового збору або звільнити від його сплати з відповідних підстав [27], було з’ясовано, що у </w:t>
      </w:r>
      <w:r w:rsidR="008513B9" w:rsidRPr="00D32F25">
        <w:rPr>
          <w:rFonts w:ascii="Times New Roman" w:eastAsia="Times New Roman" w:hAnsi="Times New Roman" w:cs="Times New Roman"/>
          <w:bCs/>
          <w:kern w:val="0"/>
          <w:sz w:val="28"/>
          <w:szCs w:val="28"/>
          <w:lang w:eastAsia="uk-UA"/>
          <w14:ligatures w14:val="none"/>
        </w:rPr>
        <w:t>Пояснювальній записці до законопроєкту необхідність його ухвалення обґрунтована тим, що запропоновані зміни спрямовані на унормування питання та оптимізацію розміру судов</w:t>
      </w:r>
      <w:r w:rsidR="003078D0">
        <w:rPr>
          <w:rFonts w:ascii="Times New Roman" w:eastAsia="Times New Roman" w:hAnsi="Times New Roman" w:cs="Times New Roman"/>
          <w:bCs/>
          <w:kern w:val="0"/>
          <w:sz w:val="28"/>
          <w:szCs w:val="28"/>
          <w:lang w:eastAsia="uk-UA"/>
          <w14:ligatures w14:val="none"/>
        </w:rPr>
        <w:t>ого</w:t>
      </w:r>
      <w:r w:rsidR="008513B9" w:rsidRPr="00D32F25">
        <w:rPr>
          <w:rFonts w:ascii="Times New Roman" w:eastAsia="Times New Roman" w:hAnsi="Times New Roman" w:cs="Times New Roman"/>
          <w:bCs/>
          <w:kern w:val="0"/>
          <w:sz w:val="28"/>
          <w:szCs w:val="28"/>
          <w:lang w:eastAsia="uk-UA"/>
          <w14:ligatures w14:val="none"/>
        </w:rPr>
        <w:t xml:space="preserve"> збору, що має сплачуватись за подання до суду апеляційної, касаційної скарги на рішення суду, яке було прийнято у період відсутності у законодавстві граничної суми у сплаті судового збору. Такі пропозиції громадськістю були сприйняті неоднозначно з огляду на те, що вони розраховані, головним чином, на зниження фінансового тягаря для окремих суб’єктів [28</w:t>
      </w:r>
      <w:hyperlink r:id="rId6" w:anchor="_ftn122" w:tgtFrame="_blank" w:history="1"/>
      <w:r w:rsidR="008513B9" w:rsidRPr="00D32F25">
        <w:rPr>
          <w:rFonts w:ascii="Times New Roman" w:eastAsia="Times New Roman" w:hAnsi="Times New Roman" w:cs="Times New Roman"/>
          <w:bCs/>
          <w:kern w:val="0"/>
          <w:sz w:val="28"/>
          <w:szCs w:val="28"/>
          <w:lang w:eastAsia="uk-UA"/>
          <w14:ligatures w14:val="none"/>
        </w:rPr>
        <w:t>].</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 xml:space="preserve">Таким чином, використання </w:t>
      </w:r>
      <w:r w:rsidR="00DF0FC5" w:rsidRPr="00D32F25">
        <w:rPr>
          <w:rFonts w:ascii="Times New Roman" w:eastAsia="Times New Roman" w:hAnsi="Times New Roman" w:cs="Times New Roman"/>
          <w:kern w:val="0"/>
          <w:sz w:val="28"/>
          <w:szCs w:val="28"/>
          <w:lang w:eastAsia="uk-UA"/>
          <w14:ligatures w14:val="none"/>
        </w:rPr>
        <w:t>підготовчих матеріалів до проєктів відповідних актів законодавства (пояснювальні записки, стенограми обговорень, висновки профільних комітетів тощо) та преамбул ухвалених акті</w:t>
      </w:r>
      <w:r w:rsidR="00C54CEF">
        <w:rPr>
          <w:rFonts w:ascii="Times New Roman" w:eastAsia="Times New Roman" w:hAnsi="Times New Roman" w:cs="Times New Roman"/>
          <w:kern w:val="0"/>
          <w:sz w:val="28"/>
          <w:szCs w:val="28"/>
          <w:lang w:eastAsia="uk-UA"/>
          <w14:ligatures w14:val="none"/>
        </w:rPr>
        <w:t>в</w:t>
      </w:r>
      <w:r w:rsidR="00DF0FC5" w:rsidRPr="00D32F25">
        <w:rPr>
          <w:rFonts w:ascii="Times New Roman" w:eastAsia="Times New Roman" w:hAnsi="Times New Roman" w:cs="Times New Roman"/>
          <w:kern w:val="0"/>
          <w:sz w:val="28"/>
          <w:szCs w:val="28"/>
          <w:lang w:eastAsia="uk-UA"/>
          <w14:ligatures w14:val="none"/>
        </w:rPr>
        <w:t xml:space="preserve"> </w:t>
      </w:r>
      <w:r w:rsidRPr="00D32F25">
        <w:rPr>
          <w:rFonts w:ascii="Times New Roman" w:eastAsia="Times New Roman" w:hAnsi="Times New Roman" w:cs="Times New Roman"/>
          <w:bCs/>
          <w:kern w:val="0"/>
          <w:sz w:val="28"/>
          <w:szCs w:val="28"/>
          <w:lang w:eastAsia="uk-UA"/>
          <w14:ligatures w14:val="none"/>
        </w:rPr>
        <w:t xml:space="preserve">визнається </w:t>
      </w:r>
      <w:r w:rsidRPr="00D32F25">
        <w:rPr>
          <w:rFonts w:ascii="Times New Roman" w:eastAsia="Times New Roman" w:hAnsi="Times New Roman" w:cs="Times New Roman"/>
          <w:kern w:val="0"/>
          <w:sz w:val="28"/>
          <w:szCs w:val="28"/>
          <w:lang w:eastAsia="uk-UA"/>
          <w14:ligatures w14:val="none"/>
        </w:rPr>
        <w:t xml:space="preserve">фундаментальним інструментом для виявлення </w:t>
      </w:r>
      <w:r w:rsidR="00597328" w:rsidRPr="00D32F25">
        <w:rPr>
          <w:rFonts w:ascii="Times New Roman" w:eastAsia="Times New Roman" w:hAnsi="Times New Roman" w:cs="Times New Roman"/>
          <w:kern w:val="0"/>
          <w:sz w:val="28"/>
          <w:szCs w:val="28"/>
          <w:lang w:eastAsia="uk-UA"/>
          <w14:ligatures w14:val="none"/>
        </w:rPr>
        <w:t>справжньої волі суб’єкта нормотворення</w:t>
      </w:r>
      <w:r w:rsidR="00D27DE6" w:rsidRPr="00D32F25">
        <w:rPr>
          <w:rFonts w:ascii="Times New Roman" w:eastAsia="Times New Roman" w:hAnsi="Times New Roman" w:cs="Times New Roman"/>
          <w:kern w:val="0"/>
          <w:sz w:val="28"/>
          <w:szCs w:val="28"/>
          <w:lang w:eastAsia="uk-UA"/>
          <w14:ligatures w14:val="none"/>
        </w:rPr>
        <w:t xml:space="preserve"> та з’ясування </w:t>
      </w:r>
      <w:r w:rsidRPr="00D32F25">
        <w:rPr>
          <w:rFonts w:ascii="Times New Roman" w:eastAsia="Times New Roman" w:hAnsi="Times New Roman" w:cs="Times New Roman"/>
          <w:kern w:val="0"/>
          <w:sz w:val="28"/>
          <w:szCs w:val="28"/>
          <w:lang w:eastAsia="uk-UA"/>
          <w14:ligatures w14:val="none"/>
        </w:rPr>
        <w:t xml:space="preserve">духу закону, що дозволяє ефективно виходити за межі </w:t>
      </w:r>
      <w:r w:rsidR="008D3654" w:rsidRPr="00D32F25">
        <w:rPr>
          <w:rFonts w:ascii="Times New Roman" w:eastAsia="Times New Roman" w:hAnsi="Times New Roman" w:cs="Times New Roman"/>
          <w:kern w:val="0"/>
          <w:sz w:val="28"/>
          <w:szCs w:val="28"/>
          <w:lang w:eastAsia="uk-UA"/>
          <w14:ligatures w14:val="none"/>
        </w:rPr>
        <w:t>текстового (</w:t>
      </w:r>
      <w:r w:rsidRPr="00D32F25">
        <w:rPr>
          <w:rFonts w:ascii="Times New Roman" w:eastAsia="Times New Roman" w:hAnsi="Times New Roman" w:cs="Times New Roman"/>
          <w:kern w:val="0"/>
          <w:sz w:val="28"/>
          <w:szCs w:val="28"/>
          <w:lang w:eastAsia="uk-UA"/>
          <w14:ligatures w14:val="none"/>
        </w:rPr>
        <w:t>буквального</w:t>
      </w:r>
      <w:r w:rsidR="008D3654" w:rsidRPr="00D32F25">
        <w:rPr>
          <w:rFonts w:ascii="Times New Roman" w:eastAsia="Times New Roman" w:hAnsi="Times New Roman" w:cs="Times New Roman"/>
          <w:kern w:val="0"/>
          <w:sz w:val="28"/>
          <w:szCs w:val="28"/>
          <w:lang w:eastAsia="uk-UA"/>
          <w14:ligatures w14:val="none"/>
        </w:rPr>
        <w:t>)</w:t>
      </w:r>
      <w:r w:rsidRPr="00D32F25">
        <w:rPr>
          <w:rFonts w:ascii="Times New Roman" w:eastAsia="Times New Roman" w:hAnsi="Times New Roman" w:cs="Times New Roman"/>
          <w:kern w:val="0"/>
          <w:sz w:val="28"/>
          <w:szCs w:val="28"/>
          <w:lang w:eastAsia="uk-UA"/>
          <w14:ligatures w14:val="none"/>
        </w:rPr>
        <w:t xml:space="preserve"> тлумачення, ідентифікувати</w:t>
      </w:r>
      <w:r w:rsidRPr="00D32F25">
        <w:rPr>
          <w:rFonts w:ascii="Times New Roman" w:eastAsia="Times New Roman" w:hAnsi="Times New Roman" w:cs="Times New Roman"/>
          <w:bCs/>
          <w:kern w:val="0"/>
          <w:sz w:val="28"/>
          <w:szCs w:val="28"/>
          <w:lang w:eastAsia="uk-UA"/>
          <w14:ligatures w14:val="none"/>
        </w:rPr>
        <w:t xml:space="preserve"> </w:t>
      </w:r>
      <w:r w:rsidR="0049045C" w:rsidRPr="00D32F25">
        <w:rPr>
          <w:rFonts w:ascii="Times New Roman" w:eastAsia="Times New Roman" w:hAnsi="Times New Roman" w:cs="Times New Roman"/>
          <w:bCs/>
          <w:kern w:val="0"/>
          <w:sz w:val="28"/>
          <w:szCs w:val="28"/>
          <w:lang w:eastAsia="uk-UA"/>
          <w14:ligatures w14:val="none"/>
        </w:rPr>
        <w:t>справжні</w:t>
      </w:r>
      <w:r w:rsidRPr="00D32F25">
        <w:rPr>
          <w:rFonts w:ascii="Times New Roman" w:eastAsia="Times New Roman" w:hAnsi="Times New Roman" w:cs="Times New Roman"/>
          <w:bCs/>
          <w:kern w:val="0"/>
          <w:sz w:val="28"/>
          <w:szCs w:val="28"/>
          <w:lang w:eastAsia="uk-UA"/>
          <w14:ligatures w14:val="none"/>
        </w:rPr>
        <w:t xml:space="preserve"> соціально-політичні цілі </w:t>
      </w:r>
      <w:r w:rsidR="0049045C" w:rsidRPr="00D32F25">
        <w:rPr>
          <w:rFonts w:ascii="Times New Roman" w:eastAsia="Times New Roman" w:hAnsi="Times New Roman" w:cs="Times New Roman"/>
          <w:bCs/>
          <w:kern w:val="0"/>
          <w:sz w:val="28"/>
          <w:szCs w:val="28"/>
          <w:lang w:eastAsia="uk-UA"/>
          <w14:ligatures w14:val="none"/>
        </w:rPr>
        <w:t xml:space="preserve">відповідного </w:t>
      </w:r>
      <w:r w:rsidRPr="00D32F25">
        <w:rPr>
          <w:rFonts w:ascii="Times New Roman" w:eastAsia="Times New Roman" w:hAnsi="Times New Roman" w:cs="Times New Roman"/>
          <w:bCs/>
          <w:kern w:val="0"/>
          <w:sz w:val="28"/>
          <w:szCs w:val="28"/>
          <w:lang w:eastAsia="uk-UA"/>
          <w14:ligatures w14:val="none"/>
        </w:rPr>
        <w:t>акта</w:t>
      </w:r>
      <w:r w:rsidR="00873162" w:rsidRPr="00D32F25">
        <w:rPr>
          <w:rFonts w:ascii="Times New Roman" w:eastAsia="Times New Roman" w:hAnsi="Times New Roman" w:cs="Times New Roman"/>
          <w:bCs/>
          <w:kern w:val="0"/>
          <w:sz w:val="28"/>
          <w:szCs w:val="28"/>
          <w:lang w:eastAsia="uk-UA"/>
          <w14:ligatures w14:val="none"/>
        </w:rPr>
        <w:t xml:space="preserve"> для</w:t>
      </w:r>
      <w:r w:rsidRPr="00D32F25">
        <w:rPr>
          <w:rFonts w:ascii="Times New Roman" w:eastAsia="Times New Roman" w:hAnsi="Times New Roman" w:cs="Times New Roman"/>
          <w:bCs/>
          <w:kern w:val="0"/>
          <w:sz w:val="28"/>
          <w:szCs w:val="28"/>
          <w:lang w:eastAsia="uk-UA"/>
          <w14:ligatures w14:val="none"/>
        </w:rPr>
        <w:t xml:space="preserve"> </w:t>
      </w:r>
      <w:r w:rsidR="00873162" w:rsidRPr="00D32F25">
        <w:rPr>
          <w:rFonts w:ascii="Times New Roman" w:hAnsi="Times New Roman" w:cs="Times New Roman"/>
          <w:sz w:val="28"/>
          <w:szCs w:val="28"/>
        </w:rPr>
        <w:t>подолання прогалин і вирішення колізій</w:t>
      </w:r>
      <w:r w:rsidRPr="00D32F25">
        <w:rPr>
          <w:rFonts w:ascii="Times New Roman" w:eastAsia="Times New Roman" w:hAnsi="Times New Roman" w:cs="Times New Roman"/>
          <w:bCs/>
          <w:kern w:val="0"/>
          <w:sz w:val="28"/>
          <w:szCs w:val="28"/>
          <w:lang w:eastAsia="uk-UA"/>
          <w14:ligatures w14:val="none"/>
        </w:rPr>
        <w:t>.</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i/>
          <w:iCs/>
          <w:kern w:val="0"/>
          <w:sz w:val="28"/>
          <w:szCs w:val="28"/>
          <w:lang w:eastAsia="uk-UA"/>
          <w14:ligatures w14:val="none"/>
        </w:rPr>
      </w:pP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i/>
          <w:iCs/>
          <w:kern w:val="0"/>
          <w:sz w:val="28"/>
          <w:szCs w:val="28"/>
          <w:lang w:eastAsia="uk-UA"/>
          <w14:ligatures w14:val="none"/>
        </w:rPr>
      </w:pPr>
      <w:r w:rsidRPr="00D32F25">
        <w:rPr>
          <w:rFonts w:ascii="Times New Roman" w:eastAsia="Times New Roman" w:hAnsi="Times New Roman" w:cs="Times New Roman"/>
          <w:bCs/>
          <w:i/>
          <w:iCs/>
          <w:kern w:val="0"/>
          <w:sz w:val="28"/>
          <w:szCs w:val="28"/>
          <w:lang w:eastAsia="uk-UA"/>
          <w14:ligatures w14:val="none"/>
        </w:rPr>
        <w:t>3. Урахування</w:t>
      </w:r>
      <w:r w:rsidR="00D27DE6" w:rsidRPr="00D32F25">
        <w:rPr>
          <w:rFonts w:ascii="Times New Roman" w:eastAsia="Times New Roman" w:hAnsi="Times New Roman" w:cs="Times New Roman"/>
          <w:bCs/>
          <w:i/>
          <w:iCs/>
          <w:kern w:val="0"/>
          <w:sz w:val="28"/>
          <w:szCs w:val="28"/>
          <w:lang w:eastAsia="uk-UA"/>
          <w14:ligatures w14:val="none"/>
        </w:rPr>
        <w:t xml:space="preserve"> </w:t>
      </w:r>
      <w:r w:rsidRPr="00D32F25">
        <w:rPr>
          <w:rFonts w:ascii="Times New Roman" w:eastAsia="Times New Roman" w:hAnsi="Times New Roman" w:cs="Times New Roman"/>
          <w:bCs/>
          <w:i/>
          <w:iCs/>
          <w:kern w:val="0"/>
          <w:sz w:val="28"/>
          <w:szCs w:val="28"/>
          <w:lang w:eastAsia="uk-UA"/>
          <w14:ligatures w14:val="none"/>
        </w:rPr>
        <w:t>духу закону під час тлумачення норм права у практиці Конституційного Суду України та Верховного Суду</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 xml:space="preserve">Аналіз правових позицій КСУ, викладених у його рішеннях, а також судової практики </w:t>
      </w:r>
      <w:r w:rsidR="00EF455C" w:rsidRPr="00D32F25">
        <w:rPr>
          <w:rFonts w:ascii="Times New Roman" w:eastAsia="Times New Roman" w:hAnsi="Times New Roman" w:cs="Times New Roman"/>
          <w:bCs/>
          <w:kern w:val="0"/>
          <w:sz w:val="28"/>
          <w:szCs w:val="28"/>
          <w:lang w:eastAsia="uk-UA"/>
          <w14:ligatures w14:val="none"/>
        </w:rPr>
        <w:t>свідчить</w:t>
      </w:r>
      <w:r w:rsidRPr="00D32F25">
        <w:rPr>
          <w:rFonts w:ascii="Times New Roman" w:eastAsia="Times New Roman" w:hAnsi="Times New Roman" w:cs="Times New Roman"/>
          <w:bCs/>
          <w:kern w:val="0"/>
          <w:sz w:val="28"/>
          <w:szCs w:val="28"/>
          <w:lang w:eastAsia="uk-UA"/>
          <w14:ligatures w14:val="none"/>
        </w:rPr>
        <w:t>, що суд конституційн</w:t>
      </w:r>
      <w:r w:rsidR="008D3654" w:rsidRPr="00D32F25">
        <w:rPr>
          <w:rFonts w:ascii="Times New Roman" w:eastAsia="Times New Roman" w:hAnsi="Times New Roman" w:cs="Times New Roman"/>
          <w:bCs/>
          <w:kern w:val="0"/>
          <w:sz w:val="28"/>
          <w:szCs w:val="28"/>
          <w:lang w:eastAsia="uk-UA"/>
          <w14:ligatures w14:val="none"/>
        </w:rPr>
        <w:t>ої</w:t>
      </w:r>
      <w:r w:rsidRPr="00D32F25">
        <w:rPr>
          <w:rFonts w:ascii="Times New Roman" w:eastAsia="Times New Roman" w:hAnsi="Times New Roman" w:cs="Times New Roman"/>
          <w:bCs/>
          <w:kern w:val="0"/>
          <w:sz w:val="28"/>
          <w:szCs w:val="28"/>
          <w:lang w:eastAsia="uk-UA"/>
          <w14:ligatures w14:val="none"/>
        </w:rPr>
        <w:t xml:space="preserve"> юрисдикції та ВС неодноразово застосовували </w:t>
      </w:r>
      <w:r w:rsidRPr="00D32F25">
        <w:rPr>
          <w:rFonts w:ascii="Times New Roman" w:eastAsia="Times New Roman" w:hAnsi="Times New Roman" w:cs="Times New Roman"/>
          <w:kern w:val="0"/>
          <w:sz w:val="28"/>
          <w:szCs w:val="28"/>
          <w:lang w:eastAsia="uk-UA"/>
          <w14:ligatures w14:val="none"/>
        </w:rPr>
        <w:t>телеологічний підхід до тлумаче</w:t>
      </w:r>
      <w:r w:rsidR="00D27DE6" w:rsidRPr="00D32F25">
        <w:rPr>
          <w:rFonts w:ascii="Times New Roman" w:eastAsia="Times New Roman" w:hAnsi="Times New Roman" w:cs="Times New Roman"/>
          <w:kern w:val="0"/>
          <w:sz w:val="28"/>
          <w:szCs w:val="28"/>
          <w:lang w:eastAsia="uk-UA"/>
          <w14:ligatures w14:val="none"/>
        </w:rPr>
        <w:t xml:space="preserve">ння норми права для з’ясування </w:t>
      </w:r>
      <w:r w:rsidRPr="00D32F25">
        <w:rPr>
          <w:rFonts w:ascii="Times New Roman" w:eastAsia="Times New Roman" w:hAnsi="Times New Roman" w:cs="Times New Roman"/>
          <w:kern w:val="0"/>
          <w:sz w:val="28"/>
          <w:szCs w:val="28"/>
          <w:lang w:eastAsia="uk-UA"/>
          <w14:ligatures w14:val="none"/>
        </w:rPr>
        <w:t>духу закону (волі законодавця) з метою утвердження верховенства права</w:t>
      </w:r>
      <w:r w:rsidRPr="00D32F25">
        <w:rPr>
          <w:rFonts w:ascii="Times New Roman" w:eastAsia="Times New Roman" w:hAnsi="Times New Roman" w:cs="Times New Roman"/>
          <w:bCs/>
          <w:kern w:val="0"/>
          <w:sz w:val="28"/>
          <w:szCs w:val="28"/>
          <w:lang w:eastAsia="uk-UA"/>
          <w14:ligatures w14:val="none"/>
        </w:rPr>
        <w:t xml:space="preserve"> та подолання законодавчих </w:t>
      </w:r>
      <w:r w:rsidR="00AF2B99" w:rsidRPr="00D32F25">
        <w:rPr>
          <w:rFonts w:ascii="Times New Roman" w:eastAsia="Times New Roman" w:hAnsi="Times New Roman" w:cs="Times New Roman"/>
          <w:bCs/>
          <w:kern w:val="0"/>
          <w:sz w:val="28"/>
          <w:szCs w:val="28"/>
          <w:lang w:eastAsia="uk-UA"/>
          <w14:ligatures w14:val="none"/>
        </w:rPr>
        <w:t>недоліків та колізій</w:t>
      </w:r>
      <w:r w:rsidRPr="00D32F25">
        <w:rPr>
          <w:rFonts w:ascii="Times New Roman" w:eastAsia="Times New Roman" w:hAnsi="Times New Roman" w:cs="Times New Roman"/>
          <w:bCs/>
          <w:kern w:val="0"/>
          <w:sz w:val="28"/>
          <w:szCs w:val="28"/>
          <w:lang w:eastAsia="uk-UA"/>
          <w14:ligatures w14:val="none"/>
        </w:rPr>
        <w:t>.</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 xml:space="preserve">Зокрема, КСУ активно використовує у своїй правозастосовній практиці інструменти, окреслені у попередній частині статті. Як зазначив з цього приводу в </w:t>
      </w:r>
      <w:r w:rsidRPr="00D32F25">
        <w:rPr>
          <w:rFonts w:ascii="Times New Roman" w:eastAsia="Times New Roman" w:hAnsi="Times New Roman" w:cs="Times New Roman"/>
          <w:kern w:val="0"/>
          <w:sz w:val="28"/>
          <w:szCs w:val="28"/>
          <w:lang w:eastAsia="uk-UA"/>
          <w14:ligatures w14:val="none"/>
        </w:rPr>
        <w:lastRenderedPageBreak/>
        <w:t>Рішен</w:t>
      </w:r>
      <w:r w:rsidR="00AF2B99" w:rsidRPr="00D32F25">
        <w:rPr>
          <w:rFonts w:ascii="Times New Roman" w:eastAsia="Times New Roman" w:hAnsi="Times New Roman" w:cs="Times New Roman"/>
          <w:kern w:val="0"/>
          <w:sz w:val="28"/>
          <w:szCs w:val="28"/>
          <w:lang w:eastAsia="uk-UA"/>
          <w14:ligatures w14:val="none"/>
        </w:rPr>
        <w:t>ні</w:t>
      </w:r>
      <w:r w:rsidRPr="00D32F25">
        <w:rPr>
          <w:rFonts w:ascii="Times New Roman" w:eastAsia="Times New Roman" w:hAnsi="Times New Roman" w:cs="Times New Roman"/>
          <w:kern w:val="0"/>
          <w:sz w:val="28"/>
          <w:szCs w:val="28"/>
          <w:lang w:eastAsia="uk-UA"/>
          <w14:ligatures w14:val="none"/>
        </w:rPr>
        <w:t xml:space="preserve"> від 13 грудня 2011 року № 17-рп/2011 КСУ, з посиланням на положення ст. 2 Закону України «Про Конституційний Суд України», завданням Суду є гарантування верховенства Конституції України як Основного Закону держави на всій території України, з огляду на що зміст рішень КСУ і його правові позиції мають бути спрямовані на неухильне дотримання духу і букви нормативних положень Конституції України </w:t>
      </w:r>
      <w:r w:rsidR="00AF2B99" w:rsidRPr="00D32F25">
        <w:rPr>
          <w:rFonts w:ascii="Times New Roman" w:eastAsia="Times New Roman" w:hAnsi="Times New Roman" w:cs="Times New Roman"/>
          <w:kern w:val="0"/>
          <w:sz w:val="28"/>
          <w:szCs w:val="28"/>
          <w:lang w:eastAsia="uk-UA"/>
          <w14:ligatures w14:val="none"/>
        </w:rPr>
        <w:t xml:space="preserve">і її </w:t>
      </w:r>
      <w:r w:rsidRPr="00D32F25">
        <w:rPr>
          <w:rFonts w:ascii="Times New Roman" w:eastAsia="Times New Roman" w:hAnsi="Times New Roman" w:cs="Times New Roman"/>
          <w:kern w:val="0"/>
          <w:sz w:val="28"/>
          <w:szCs w:val="28"/>
          <w:lang w:eastAsia="uk-UA"/>
          <w14:ligatures w14:val="none"/>
        </w:rPr>
        <w:t>державотворчої доктрини, відображеної у тексті преамбули [29].</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Окрім того, у Рішенні від 6 вересня 2023 року № 6-р(I)/2023 КСУ досліджував Пояснювальну записку до проєкту Закону України від 15 червня 2018 року (реєстр. № 8488), ухваленого як Закон № 2612, установивши, що метою прийняття законопроекту є врегулювання питання ввезення транспортних засобів на митну територію України, забезпечення дієвого контролю за переміщенням</w:t>
      </w:r>
      <w:r w:rsidR="00D2535C" w:rsidRPr="00D32F25">
        <w:rPr>
          <w:rFonts w:ascii="Times New Roman" w:eastAsia="Times New Roman" w:hAnsi="Times New Roman" w:cs="Times New Roman"/>
          <w:kern w:val="0"/>
          <w:sz w:val="28"/>
          <w:szCs w:val="28"/>
          <w:lang w:eastAsia="uk-UA"/>
          <w14:ligatures w14:val="none"/>
        </w:rPr>
        <w:t xml:space="preserve"> та</w:t>
      </w:r>
      <w:r w:rsidRPr="00D32F25">
        <w:rPr>
          <w:rFonts w:ascii="Times New Roman" w:eastAsia="Times New Roman" w:hAnsi="Times New Roman" w:cs="Times New Roman"/>
          <w:kern w:val="0"/>
          <w:sz w:val="28"/>
          <w:szCs w:val="28"/>
          <w:lang w:eastAsia="uk-UA"/>
          <w14:ligatures w14:val="none"/>
        </w:rPr>
        <w:t xml:space="preserve"> використанням транспортних засобів, поміщених в митний режим тимчасового ввезення, посилення відповідальності громадян за порушення митних правил. З огляду на це, КСУ </w:t>
      </w:r>
      <w:r w:rsidR="003C261C" w:rsidRPr="00D32F25">
        <w:rPr>
          <w:rFonts w:ascii="Times New Roman" w:eastAsia="Times New Roman" w:hAnsi="Times New Roman" w:cs="Times New Roman"/>
          <w:kern w:val="0"/>
          <w:sz w:val="28"/>
          <w:szCs w:val="28"/>
          <w:lang w:eastAsia="uk-UA"/>
          <w14:ligatures w14:val="none"/>
        </w:rPr>
        <w:t>цьому</w:t>
      </w:r>
      <w:r w:rsidRPr="00D32F25">
        <w:rPr>
          <w:rFonts w:ascii="Times New Roman" w:eastAsia="Times New Roman" w:hAnsi="Times New Roman" w:cs="Times New Roman"/>
          <w:kern w:val="0"/>
          <w:sz w:val="28"/>
          <w:szCs w:val="28"/>
          <w:lang w:eastAsia="uk-UA"/>
          <w14:ligatures w14:val="none"/>
        </w:rPr>
        <w:t xml:space="preserve"> Рішенні дійшов висновку, що відповідні зміни до Митного кодексу України відповідають Конституції України, оскільки запровадження механізму контролю за переміщенням товарів до або з митної зони, а також урегулювання ввезення транспортних засобів на митну територію України здійснено з метою посилення відповідальності за порушення митних правил [30].</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 xml:space="preserve">Також у Рішенні від 28 лютого 2018 року № 2-р/2018 КСУ дослідив конкретні матеріали (стенограму пленарного засіданні, дані державної прикордонної служби, результати поіменного голосування тощо) і дійшов висновку, що порушення конституційної процедури розгляду та ухвалення проєкту Закону «Про засади державної мовної політики» під час його ухвалення загалом на вечірньому пленарному засіданні Верховної Ради України були системні й суттєво вплинули на остаточний результат ухвалення </w:t>
      </w:r>
      <w:r w:rsidR="003C261C" w:rsidRPr="00D32F25">
        <w:rPr>
          <w:rFonts w:ascii="Times New Roman" w:eastAsia="Times New Roman" w:hAnsi="Times New Roman" w:cs="Times New Roman"/>
          <w:kern w:val="0"/>
          <w:sz w:val="28"/>
          <w:szCs w:val="28"/>
          <w:lang w:eastAsia="uk-UA"/>
          <w14:ligatures w14:val="none"/>
        </w:rPr>
        <w:t xml:space="preserve">цього </w:t>
      </w:r>
      <w:r w:rsidRPr="00D32F25">
        <w:rPr>
          <w:rFonts w:ascii="Times New Roman" w:eastAsia="Times New Roman" w:hAnsi="Times New Roman" w:cs="Times New Roman"/>
          <w:kern w:val="0"/>
          <w:sz w:val="28"/>
          <w:szCs w:val="28"/>
          <w:lang w:eastAsia="uk-UA"/>
          <w14:ligatures w14:val="none"/>
        </w:rPr>
        <w:t>закону [31].</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 xml:space="preserve">До того ж у Рішенні від 7 листопада 2018 року № 9-р/2018 КСУ на підставі системного аналізу, </w:t>
      </w:r>
      <w:r w:rsidR="003C261C" w:rsidRPr="00D32F25">
        <w:rPr>
          <w:rFonts w:ascii="Times New Roman" w:eastAsia="Times New Roman" w:hAnsi="Times New Roman" w:cs="Times New Roman"/>
          <w:kern w:val="0"/>
          <w:sz w:val="28"/>
          <w:szCs w:val="28"/>
          <w:lang w:eastAsia="uk-UA"/>
          <w14:ligatures w14:val="none"/>
        </w:rPr>
        <w:t>зокрема</w:t>
      </w:r>
      <w:r w:rsidRPr="00D32F25">
        <w:rPr>
          <w:rFonts w:ascii="Times New Roman" w:eastAsia="Times New Roman" w:hAnsi="Times New Roman" w:cs="Times New Roman"/>
          <w:kern w:val="0"/>
          <w:sz w:val="28"/>
          <w:szCs w:val="28"/>
          <w:lang w:eastAsia="uk-UA"/>
          <w14:ligatures w14:val="none"/>
        </w:rPr>
        <w:t xml:space="preserve"> пояснювальної записки до проєкту Закону України «Про запобігання фінансової катастрофи та створення передумов для економічного зростання в Україні» дійшов висновку, що оспорювані положення</w:t>
      </w:r>
      <w:r w:rsidR="003C261C" w:rsidRPr="00D32F25">
        <w:rPr>
          <w:rFonts w:ascii="Times New Roman" w:eastAsia="Times New Roman" w:hAnsi="Times New Roman" w:cs="Times New Roman"/>
          <w:kern w:val="0"/>
          <w:sz w:val="28"/>
          <w:szCs w:val="28"/>
          <w:lang w:eastAsia="uk-UA"/>
          <w14:ligatures w14:val="none"/>
        </w:rPr>
        <w:t xml:space="preserve"> цього</w:t>
      </w:r>
      <w:r w:rsidRPr="00D32F25">
        <w:rPr>
          <w:rFonts w:ascii="Times New Roman" w:eastAsia="Times New Roman" w:hAnsi="Times New Roman" w:cs="Times New Roman"/>
          <w:kern w:val="0"/>
          <w:sz w:val="28"/>
          <w:szCs w:val="28"/>
          <w:lang w:eastAsia="uk-UA"/>
          <w14:ligatures w14:val="none"/>
        </w:rPr>
        <w:t xml:space="preserve"> Закону ухвалені з метою реалізації заходів щодо економного та раціонального </w:t>
      </w:r>
      <w:r w:rsidRPr="00D32F25">
        <w:rPr>
          <w:rFonts w:ascii="Times New Roman" w:eastAsia="Times New Roman" w:hAnsi="Times New Roman" w:cs="Times New Roman"/>
          <w:kern w:val="0"/>
          <w:sz w:val="28"/>
          <w:szCs w:val="28"/>
          <w:lang w:eastAsia="uk-UA"/>
          <w14:ligatures w14:val="none"/>
        </w:rPr>
        <w:lastRenderedPageBreak/>
        <w:t>використання державних коштів, недопущення втрат Державного бюджету України, забезпечення соціальної підтримки громадян виходячи з фінансових можливостей держави [32].</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Іншими прикладами застосування КСУ інструментів телеологічного тлумачення норм права є Рішення від 23 грудня 2022 року № 3-р/2022, у п. 2.3.4 мотивувальної частини якого Суд зазначив, що згідно з Пояснювальною запискою до проєкту Закону України «Про внесення доповнень до Закону України «Про державну службу» (щодо одержання та порядку перерахунку пенсій)» (реєстр. № 1295) потребу в запровадженні перерахунку розміру пенсій державних службовців було вмотивовано тим, що норми, які регулюють пенсійне забезпечення державних службовців, не містять положень про перерахунок пенсій. Таким чином, підвищення рівня оплати праці працюючих державних службовців не спричиняє відповідних індексацій раніше призначених пенсій державним службовцям, що створює нерівність умов соціального захисту громадян України у старості та залежить від часу виходу особи на пенсію [33].</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Також у справі щодо відповідності Конституції України (конституційності) окремого положення абзацу другого частини першої статті 204-3 Кодексу України про адміністративні правопорушення у Рішенні від 12 жовтня 2022 року № 8-р(I)/2022 КСУ удався до аналізу Пояснювальної записки до проєкту Закону України від 17 червня 2015 року (реєстр. № 2109а), в якій зазначалося, що метою прийняття законопроєкту є запровадження механізму контролю за переміщенням товарів до району або з району проведення антитерористичної операції, виявлення порушень порядку їх переміщення, протиправних схем ухилення від проходження встановлених контрольних процедур, осіб, які їх вчинили, притягнення до відповідальності винних у таких порушеннях осіб [34].</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 xml:space="preserve">Подібний підхід до тлумачення норми права неодноразово використовував у своїх постановах ВС.  </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 xml:space="preserve">Так, Велика Палата Верховного Суду (далі – ВП ВС) у своїй постанові від 21 вересня 2021 року у справі № 910/10374/17 звернула увагу на те, що тлумачення судом норм права є невід’ємною частиною правозастосування, адже будь-яке </w:t>
      </w:r>
      <w:r w:rsidRPr="00D32F25">
        <w:rPr>
          <w:rFonts w:ascii="Times New Roman" w:eastAsia="Times New Roman" w:hAnsi="Times New Roman" w:cs="Times New Roman"/>
          <w:bCs/>
          <w:kern w:val="0"/>
          <w:sz w:val="28"/>
          <w:szCs w:val="28"/>
          <w:lang w:eastAsia="uk-UA"/>
          <w14:ligatures w14:val="none"/>
        </w:rPr>
        <w:lastRenderedPageBreak/>
        <w:t>застосування норми неможливе без з’ясування її змісту. Відповідно, суди загальної юрисдикції, застосовуючи закон, зобов’язані виявляти його справжній зміст [35].</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Окрім того, у згаданій вище постанові ВП ВС, розглядаючи питання строків вчинення виконавчого напису нотаріуса, посилалася на спрямованість волі законодавця, яка була підтверджена наступними змінами до Закону «Про нотаріат» 2020 року. Ці зміни, як установила ВП ВС, усунули колізії та визначили єдиний трирічний строк, що підтвердило початковий намір законодавця встановити однакові строки для нотаріального захисту прав, як і для судового</w:t>
      </w:r>
      <w:r w:rsidRPr="00D32F25">
        <w:rPr>
          <w:rFonts w:ascii="Times New Roman" w:eastAsia="Times New Roman" w:hAnsi="Times New Roman" w:cs="Times New Roman"/>
          <w:bCs/>
          <w:kern w:val="0"/>
          <w:sz w:val="28"/>
          <w:szCs w:val="28"/>
          <w:lang w:eastAsia="uk-UA"/>
          <w14:ligatures w14:val="none"/>
        </w:rPr>
        <w:t xml:space="preserve"> [35].</w:t>
      </w:r>
      <w:r w:rsidRPr="00D32F25">
        <w:rPr>
          <w:rFonts w:ascii="Times New Roman" w:eastAsia="Times New Roman" w:hAnsi="Times New Roman" w:cs="Times New Roman"/>
          <w:kern w:val="0"/>
          <w:sz w:val="28"/>
          <w:szCs w:val="28"/>
          <w:lang w:eastAsia="uk-UA"/>
          <w14:ligatures w14:val="none"/>
        </w:rPr>
        <w:t xml:space="preserve"> </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 xml:space="preserve">В іншій постанові від 16 липня 2022 року </w:t>
      </w:r>
      <w:r w:rsidR="003C261C" w:rsidRPr="00D32F25">
        <w:rPr>
          <w:rFonts w:ascii="Times New Roman" w:eastAsia="Times New Roman" w:hAnsi="Times New Roman" w:cs="Times New Roman"/>
          <w:kern w:val="0"/>
          <w:sz w:val="28"/>
          <w:szCs w:val="28"/>
          <w:lang w:eastAsia="uk-UA"/>
          <w14:ligatures w14:val="none"/>
        </w:rPr>
        <w:t xml:space="preserve">у справі № 160/3364/19 </w:t>
      </w:r>
      <w:r w:rsidRPr="00D32F25">
        <w:rPr>
          <w:rFonts w:ascii="Times New Roman" w:eastAsia="Times New Roman" w:hAnsi="Times New Roman" w:cs="Times New Roman"/>
          <w:kern w:val="0"/>
          <w:sz w:val="28"/>
          <w:szCs w:val="28"/>
          <w:lang w:eastAsia="uk-UA"/>
          <w14:ligatures w14:val="none"/>
        </w:rPr>
        <w:t>ВП ВС</w:t>
      </w:r>
      <w:r w:rsidRPr="00D32F25">
        <w:rPr>
          <w:rFonts w:ascii="Times New Roman" w:eastAsia="Times New Roman" w:hAnsi="Times New Roman" w:cs="Times New Roman"/>
          <w:i/>
          <w:iCs/>
          <w:kern w:val="0"/>
          <w:sz w:val="28"/>
          <w:szCs w:val="28"/>
          <w:lang w:eastAsia="uk-UA"/>
          <w14:ligatures w14:val="none"/>
        </w:rPr>
        <w:t xml:space="preserve"> </w:t>
      </w:r>
      <w:r w:rsidR="003C261C" w:rsidRPr="00D32F25">
        <w:rPr>
          <w:rFonts w:ascii="Times New Roman" w:eastAsia="Times New Roman" w:hAnsi="Times New Roman" w:cs="Times New Roman"/>
          <w:iCs/>
          <w:kern w:val="0"/>
          <w:sz w:val="28"/>
          <w:szCs w:val="28"/>
          <w:lang w:eastAsia="uk-UA"/>
          <w14:ligatures w14:val="none"/>
        </w:rPr>
        <w:t>здійснила</w:t>
      </w:r>
      <w:r w:rsidRPr="00D32F25">
        <w:rPr>
          <w:rFonts w:ascii="Times New Roman" w:eastAsia="Times New Roman" w:hAnsi="Times New Roman" w:cs="Times New Roman"/>
          <w:kern w:val="0"/>
          <w:sz w:val="28"/>
          <w:szCs w:val="28"/>
          <w:lang w:eastAsia="uk-UA"/>
          <w14:ligatures w14:val="none"/>
        </w:rPr>
        <w:t xml:space="preserve"> аналіз </w:t>
      </w:r>
      <w:r w:rsidR="003C261C" w:rsidRPr="00D32F25">
        <w:rPr>
          <w:rFonts w:ascii="Times New Roman" w:eastAsia="Times New Roman" w:hAnsi="Times New Roman" w:cs="Times New Roman"/>
          <w:kern w:val="0"/>
          <w:sz w:val="28"/>
          <w:szCs w:val="28"/>
          <w:lang w:eastAsia="uk-UA"/>
          <w14:ligatures w14:val="none"/>
        </w:rPr>
        <w:t>п</w:t>
      </w:r>
      <w:r w:rsidRPr="00D32F25">
        <w:rPr>
          <w:rFonts w:ascii="Times New Roman" w:eastAsia="Times New Roman" w:hAnsi="Times New Roman" w:cs="Times New Roman"/>
          <w:kern w:val="0"/>
          <w:sz w:val="28"/>
          <w:szCs w:val="28"/>
          <w:lang w:eastAsia="uk-UA"/>
          <w14:ligatures w14:val="none"/>
        </w:rPr>
        <w:t xml:space="preserve">ояснювальної записки до проєкту Закону </w:t>
      </w:r>
      <w:r w:rsidR="003C261C" w:rsidRPr="00D32F25">
        <w:rPr>
          <w:rFonts w:ascii="Times New Roman" w:eastAsia="Times New Roman" w:hAnsi="Times New Roman" w:cs="Times New Roman"/>
          <w:kern w:val="0"/>
          <w:sz w:val="28"/>
          <w:szCs w:val="28"/>
          <w:lang w:eastAsia="uk-UA"/>
          <w14:ligatures w14:val="none"/>
        </w:rPr>
        <w:t xml:space="preserve">України від 18 вересня 2019 року № 101-IX «Про внесення змін до Кримінального кодексу України та Кримінального процесуального кодексу України щодо зменшення тиску на бізнес» </w:t>
      </w:r>
      <w:r w:rsidRPr="00D32F25">
        <w:rPr>
          <w:rFonts w:ascii="Times New Roman" w:eastAsia="Times New Roman" w:hAnsi="Times New Roman" w:cs="Times New Roman"/>
          <w:kern w:val="0"/>
          <w:sz w:val="28"/>
          <w:szCs w:val="28"/>
          <w:lang w:eastAsia="uk-UA"/>
          <w14:ligatures w14:val="none"/>
        </w:rPr>
        <w:t>для встановлення мети гуманізації кримінальної відповідальності та усунення хибної практики використання вироків про фіктивне підприємництво як преюдиціальних доказів у податкових спорах [36].</w:t>
      </w:r>
    </w:p>
    <w:p w:rsidR="008513B9" w:rsidRPr="00D32F25" w:rsidRDefault="008513B9" w:rsidP="003C261C">
      <w:pPr>
        <w:tabs>
          <w:tab w:val="left" w:pos="1134"/>
        </w:tabs>
        <w:spacing w:after="0" w:line="360" w:lineRule="auto"/>
        <w:ind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 xml:space="preserve">Окрім того, під час розгляду справи № 825/506/18 ВП ВС у постанові від 23 жовтня 2023 року досліджувала </w:t>
      </w:r>
      <w:r w:rsidR="003C261C" w:rsidRPr="00D32F25">
        <w:rPr>
          <w:rFonts w:ascii="Times New Roman" w:eastAsia="Times New Roman" w:hAnsi="Times New Roman" w:cs="Times New Roman"/>
          <w:kern w:val="0"/>
          <w:sz w:val="28"/>
          <w:szCs w:val="28"/>
          <w:lang w:eastAsia="uk-UA"/>
          <w14:ligatures w14:val="none"/>
        </w:rPr>
        <w:t>п</w:t>
      </w:r>
      <w:r w:rsidRPr="00D32F25">
        <w:rPr>
          <w:rFonts w:ascii="Times New Roman" w:eastAsia="Times New Roman" w:hAnsi="Times New Roman" w:cs="Times New Roman"/>
          <w:kern w:val="0"/>
          <w:sz w:val="28"/>
          <w:szCs w:val="28"/>
          <w:lang w:eastAsia="uk-UA"/>
          <w14:ligatures w14:val="none"/>
        </w:rPr>
        <w:t xml:space="preserve">ояснювальну записку проєкту Закону </w:t>
      </w:r>
      <w:r w:rsidR="003C261C" w:rsidRPr="00D32F25">
        <w:rPr>
          <w:rFonts w:ascii="Times New Roman" w:eastAsia="Times New Roman" w:hAnsi="Times New Roman" w:cs="Times New Roman"/>
          <w:kern w:val="0"/>
          <w:sz w:val="28"/>
          <w:szCs w:val="28"/>
          <w:lang w:eastAsia="uk-UA"/>
          <w14:ligatures w14:val="none"/>
        </w:rPr>
        <w:t xml:space="preserve">України від 28 грудня 2014 року № 76-VIII «Про внесення змін та визнання такими, що втратили чинність, деяких законодавчих актів України» </w:t>
      </w:r>
      <w:r w:rsidRPr="00D32F25">
        <w:rPr>
          <w:rFonts w:ascii="Times New Roman" w:eastAsia="Times New Roman" w:hAnsi="Times New Roman" w:cs="Times New Roman"/>
          <w:kern w:val="0"/>
          <w:sz w:val="28"/>
          <w:szCs w:val="28"/>
          <w:lang w:eastAsia="uk-UA"/>
          <w14:ligatures w14:val="none"/>
        </w:rPr>
        <w:t xml:space="preserve">на обґрунтування правомірності делегування повноважень Кабінету Міністрів України щодо перерахунку пенсій працівникам прокуратури, що було зумовлено необхідністю економного та раціонального використання державних коштів. Із указаної Пояснювальної записки ВП ВС установила, що прийняття </w:t>
      </w:r>
      <w:r w:rsidR="003C261C" w:rsidRPr="00D32F25">
        <w:rPr>
          <w:rFonts w:ascii="Times New Roman" w:eastAsia="Times New Roman" w:hAnsi="Times New Roman" w:cs="Times New Roman"/>
          <w:kern w:val="0"/>
          <w:sz w:val="28"/>
          <w:szCs w:val="28"/>
          <w:lang w:eastAsia="uk-UA"/>
          <w14:ligatures w14:val="none"/>
        </w:rPr>
        <w:t xml:space="preserve">цього </w:t>
      </w:r>
      <w:r w:rsidRPr="00D32F25">
        <w:rPr>
          <w:rFonts w:ascii="Times New Roman" w:eastAsia="Times New Roman" w:hAnsi="Times New Roman" w:cs="Times New Roman"/>
          <w:kern w:val="0"/>
          <w:sz w:val="28"/>
          <w:szCs w:val="28"/>
          <w:lang w:eastAsia="uk-UA"/>
          <w14:ligatures w14:val="none"/>
        </w:rPr>
        <w:t xml:space="preserve">Закону </w:t>
      </w:r>
      <w:r w:rsidR="003C261C" w:rsidRPr="00D32F25">
        <w:rPr>
          <w:rFonts w:ascii="Times New Roman" w:eastAsia="Times New Roman" w:hAnsi="Times New Roman" w:cs="Times New Roman"/>
          <w:kern w:val="0"/>
          <w:sz w:val="28"/>
          <w:szCs w:val="28"/>
          <w:lang w:eastAsia="uk-UA"/>
          <w14:ligatures w14:val="none"/>
        </w:rPr>
        <w:t>б</w:t>
      </w:r>
      <w:r w:rsidRPr="00D32F25">
        <w:rPr>
          <w:rFonts w:ascii="Times New Roman" w:eastAsia="Times New Roman" w:hAnsi="Times New Roman" w:cs="Times New Roman"/>
          <w:kern w:val="0"/>
          <w:sz w:val="28"/>
          <w:szCs w:val="28"/>
          <w:lang w:eastAsia="uk-UA"/>
          <w14:ligatures w14:val="none"/>
        </w:rPr>
        <w:t>уло обумовлено необхідністю реалізації заходів щодо економного та раціонального використання державних коштів та приведення до фінансових можливостей держави дії положень окремих законів України, створення умов для стабілізації фінансового стану держави та удосконалення окремих положень соціальної політики [37].</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 xml:space="preserve">Також необхідно звернути увагу на постанову від 20 січня 2021 року, в якій ВП ВС, розглядаючи справу № 800/162/14, підтвердила ключову роль підготовчих матеріалів у легітимізації рішень парламенту. Суд встановив, що мотиви, мета та </w:t>
      </w:r>
      <w:r w:rsidRPr="00D32F25">
        <w:rPr>
          <w:rFonts w:ascii="Times New Roman" w:eastAsia="Times New Roman" w:hAnsi="Times New Roman" w:cs="Times New Roman"/>
          <w:kern w:val="0"/>
          <w:sz w:val="28"/>
          <w:szCs w:val="28"/>
          <w:lang w:eastAsia="uk-UA"/>
          <w14:ligatures w14:val="none"/>
        </w:rPr>
        <w:lastRenderedPageBreak/>
        <w:t>історичний контекст прийняття Постанови Верховної Ради України № 775-VII (щодо звільнення суддів Конституційного Суду України) були належним чином викладені у преамбулі до неї та у пояснювальних записках до її проєкту. Звернення до цих документів дало можливість установити дійсний намір законодавця, що виразився у прагненні вжити заходів для оновлення складу КСУ з метою усунення негативних соціально-політичних і правових наслідків, спричинених попереднім рішенням [38].</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Таким чином, ВП ВС використала телеологічне тлумачення для виявлення волі законодавця, констатувавши, що завдяки наявності мотивів у преамбулі та пояснювальних записках, право позивачки на належне обґрунтування ухваленого щодо неї рішення парламенту порушене не було. Цей підхід демонструє, що в українській судовій практиці пояснювальні записки та преамбули виступають не просто додатковими документами, а вирішальними джерелами для з’</w:t>
      </w:r>
      <w:r w:rsidR="00D27DE6" w:rsidRPr="00D32F25">
        <w:rPr>
          <w:rFonts w:ascii="Times New Roman" w:eastAsia="Times New Roman" w:hAnsi="Times New Roman" w:cs="Times New Roman"/>
          <w:kern w:val="0"/>
          <w:sz w:val="28"/>
          <w:szCs w:val="28"/>
          <w:lang w:eastAsia="uk-UA"/>
          <w14:ligatures w14:val="none"/>
        </w:rPr>
        <w:t xml:space="preserve">ясування </w:t>
      </w:r>
      <w:r w:rsidRPr="00D32F25">
        <w:rPr>
          <w:rFonts w:ascii="Times New Roman" w:eastAsia="Times New Roman" w:hAnsi="Times New Roman" w:cs="Times New Roman"/>
          <w:kern w:val="0"/>
          <w:sz w:val="28"/>
          <w:szCs w:val="28"/>
          <w:lang w:eastAsia="uk-UA"/>
          <w14:ligatures w14:val="none"/>
        </w:rPr>
        <w:t>духу закону та підтвердження легітимності прийнятого політико-правового акта.</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 xml:space="preserve">Слід наголосити, що деякі органи у своїх рішеннях, надаючи тлумачення або оцінку норм права, також використовують положення пояснювальних записок проєктів до таких актів. </w:t>
      </w:r>
    </w:p>
    <w:p w:rsidR="008513B9" w:rsidRPr="00D32F25" w:rsidRDefault="00EF455C"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У</w:t>
      </w:r>
      <w:r w:rsidR="008513B9" w:rsidRPr="00D32F25">
        <w:rPr>
          <w:rFonts w:ascii="Times New Roman" w:eastAsia="Times New Roman" w:hAnsi="Times New Roman" w:cs="Times New Roman"/>
          <w:bCs/>
          <w:kern w:val="0"/>
          <w:sz w:val="28"/>
          <w:szCs w:val="28"/>
          <w:lang w:eastAsia="uk-UA"/>
          <w14:ligatures w14:val="none"/>
        </w:rPr>
        <w:t xml:space="preserve"> Консультативному висновку щодо законопроєкту № 3730, затвердженому рішенням Вищої ради правосуддя від 9 липня 2020 року № 2075/0/15-20, остання посилається на Пояснювальну записку до законопроєкту № 3730. На підставі положень цієї записки Вища рада правосуддя установила, що метою прийняття указаного акта є вирівнювання навантаження між суддями Касаційного адміністративного суду в складі Верховного Суду; на думку суб’єктів законодавчої ініціативи, виходом із цієї ситуації є врегулювання навантаження суддів різних судових палат шляхом здійснення рівномірного розподілу усіх справ незалежно від їхньої категорії поміж усіма суддями Касаційного адміністративного суду у складі ВС та надання можливості вирішувати питання створення спеціалізованих палат зборам суддів відповідно до норми частини четвертої статті 37 Закону України «Про судоустрій і статус суддів». Такий підхід, за висновком Вищої ради правосуддя забезпечить ефективне та своєчасне здійснення судочинства судом касаційної інстанції» [39].</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lastRenderedPageBreak/>
        <w:t xml:space="preserve">Проте, слід зазначити, що юридичне значення підготовчих матеріалів до проєктів актів </w:t>
      </w:r>
      <w:r w:rsidR="0049045C" w:rsidRPr="00D32F25">
        <w:rPr>
          <w:rFonts w:ascii="Times New Roman" w:eastAsia="Times New Roman" w:hAnsi="Times New Roman" w:cs="Times New Roman"/>
          <w:bCs/>
          <w:kern w:val="0"/>
          <w:sz w:val="28"/>
          <w:szCs w:val="28"/>
          <w:lang w:eastAsia="uk-UA"/>
          <w14:ligatures w14:val="none"/>
        </w:rPr>
        <w:t xml:space="preserve">законодавства </w:t>
      </w:r>
      <w:r w:rsidRPr="00D32F25">
        <w:rPr>
          <w:rFonts w:ascii="Times New Roman" w:eastAsia="Times New Roman" w:hAnsi="Times New Roman" w:cs="Times New Roman"/>
          <w:bCs/>
          <w:kern w:val="0"/>
          <w:sz w:val="28"/>
          <w:szCs w:val="28"/>
          <w:lang w:eastAsia="uk-UA"/>
          <w14:ligatures w14:val="none"/>
        </w:rPr>
        <w:t xml:space="preserve">залишається дискусійним у судовій практиці. Існує позиція, що пояснювальна записка до законопроєкту не належить до </w:t>
      </w:r>
      <w:r w:rsidR="004B7CD6" w:rsidRPr="00D32F25">
        <w:rPr>
          <w:rFonts w:ascii="Times New Roman" w:eastAsia="Times New Roman" w:hAnsi="Times New Roman" w:cs="Times New Roman"/>
          <w:bCs/>
          <w:kern w:val="0"/>
          <w:sz w:val="28"/>
          <w:szCs w:val="28"/>
          <w:lang w:eastAsia="uk-UA"/>
          <w14:ligatures w14:val="none"/>
        </w:rPr>
        <w:t>офіційних джерел</w:t>
      </w:r>
      <w:r w:rsidRPr="00D32F25">
        <w:rPr>
          <w:rFonts w:ascii="Times New Roman" w:eastAsia="Times New Roman" w:hAnsi="Times New Roman" w:cs="Times New Roman"/>
          <w:bCs/>
          <w:kern w:val="0"/>
          <w:sz w:val="28"/>
          <w:szCs w:val="28"/>
          <w:lang w:eastAsia="uk-UA"/>
          <w14:ligatures w14:val="none"/>
        </w:rPr>
        <w:t xml:space="preserve">, які може застосовувати суд, оскільки згідно зі статтею 7 КАС України суд має керуватися лише джерелами права. З цієї точки зору, мету норми, за висновком Суду, слід визначати відповідно до преамбули прийнятого закону, а не попередніх робочих документів [40]. Подібні аргументи використовувались, зокрема у справах про несплату єдиного внеску [41]. </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З огляду на це, у судовій практиці також зустрічається підхід до тлумачення норм права на підставі дослідження преамбули закону. Зокрема, на преамбулу до Конституції України, яку було доповнено Законом України від 7 лютого 2019 року, зокрема положеннями про європейську ідентичність Українського народу і незворотність європейського курсу України, посилався ВС у своїй постанові від 31 травня 2021 року під час розгляду справи № 640/8656/19 [42].</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Крім того, на практиці отримання доступу до деяких підготовчих документів, наприклад стенограм засідань Кабінету Міністрів України, є обмеженим, оскільки вони можуть мати гриф «Для службового користування», що підтверджується судовими рішеннями.</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Наприклад, розглянувши позов запитувача інформації до Секретаріату Кабінету Міністрів України у справі № 826/19156/15, Окружний адміністративний суд м. Києва вирішив, що відмова у наданні інформації була законною, оскільки ґрунтувалася на чітких нормах Закону України «Про Кабінет Міністрів України». Рішення суду першої інстанції було залишено без змін апеляційним судом. Вищий адміністративний суд України відмовив у відкритті касаційного провадження за касаційною скаргою запитувача [43]. Аналогічної позиції щодо обмеженого доступу до стенограм засідань Уряду дотримався Окружний адміністративний суд м. Києва у справі № 640/22384/18 [44].</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kern w:val="0"/>
          <w:sz w:val="28"/>
          <w:szCs w:val="28"/>
          <w:lang w:eastAsia="uk-UA"/>
          <w14:ligatures w14:val="none"/>
        </w:rPr>
      </w:pP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i/>
          <w:iCs/>
          <w:kern w:val="0"/>
          <w:sz w:val="28"/>
          <w:szCs w:val="28"/>
          <w:lang w:eastAsia="uk-UA"/>
          <w14:ligatures w14:val="none"/>
        </w:rPr>
      </w:pPr>
      <w:r w:rsidRPr="00D32F25">
        <w:rPr>
          <w:rFonts w:ascii="Times New Roman" w:eastAsia="Times New Roman" w:hAnsi="Times New Roman" w:cs="Times New Roman"/>
          <w:bCs/>
          <w:i/>
          <w:iCs/>
          <w:kern w:val="0"/>
          <w:sz w:val="28"/>
          <w:szCs w:val="28"/>
          <w:lang w:eastAsia="uk-UA"/>
          <w14:ligatures w14:val="none"/>
        </w:rPr>
        <w:t>4. Позиція Європейського суду з прав людини та інших інституцій Європейського Союзу у питанні телеологічного тлумачення норм права</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lastRenderedPageBreak/>
        <w:t xml:space="preserve">ЄСПЛ та інші інституції ЄС також підтверджують важливість аналізу підготовчих документів до законопроєктів для надання правильного тлумачення норм права на підставі виявлення дійсної волі </w:t>
      </w:r>
      <w:r w:rsidR="00D27DE6" w:rsidRPr="00D32F25">
        <w:rPr>
          <w:rFonts w:ascii="Times New Roman" w:eastAsia="Times New Roman" w:hAnsi="Times New Roman" w:cs="Times New Roman"/>
          <w:bCs/>
          <w:kern w:val="0"/>
          <w:sz w:val="28"/>
          <w:szCs w:val="28"/>
          <w:lang w:eastAsia="uk-UA"/>
          <w14:ligatures w14:val="none"/>
        </w:rPr>
        <w:t>законодавця (</w:t>
      </w:r>
      <w:r w:rsidRPr="00D32F25">
        <w:rPr>
          <w:rFonts w:ascii="Times New Roman" w:eastAsia="Times New Roman" w:hAnsi="Times New Roman" w:cs="Times New Roman"/>
          <w:bCs/>
          <w:kern w:val="0"/>
          <w:sz w:val="28"/>
          <w:szCs w:val="28"/>
          <w:lang w:eastAsia="uk-UA"/>
          <w14:ligatures w14:val="none"/>
        </w:rPr>
        <w:t xml:space="preserve">духу закону). </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Особливо показовою у цьому аспекті є практика ЄСПЛ. У рішенні у справі «Hоpital local Saint-Pierre d’Oléron and Others v. France» (заява № 18096/12) ЄСПЛ розглядав ситуацію, коли заявники хотіли скористатися технічними недоліками у формулюванні закону (буквою закону), щоб отримати відшкодування соціальних внесків. Натомість законодавчий орган втрутився і прийняв новий закон, який прояснив його зміст, замінивши неточні вирази більш точними, щоб підтвердити справжній намір законодавця – звільнити від внесків лише помічників, які працюють у приватному житлі осіб, а не в колективних установах. ЄСПЛ визнав, що: офіційна мета втручання полягала у виправленні технічного дефекту та проясненні змісту закону; заявники не могли покладатися на технічні недоліки без права законодавця виправити такі недоліки в інтересах справедливості та духу закону [45].</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Це рішення є підтвердженням того, що у практиці ЄСПЛ</w:t>
      </w:r>
      <w:r w:rsidR="00D27DE6" w:rsidRPr="00D32F25">
        <w:rPr>
          <w:rFonts w:ascii="Times New Roman" w:eastAsia="Times New Roman" w:hAnsi="Times New Roman" w:cs="Times New Roman"/>
          <w:bCs/>
          <w:kern w:val="0"/>
          <w:sz w:val="28"/>
          <w:szCs w:val="28"/>
          <w:lang w:eastAsia="uk-UA"/>
          <w14:ligatures w14:val="none"/>
        </w:rPr>
        <w:t xml:space="preserve"> </w:t>
      </w:r>
      <w:r w:rsidRPr="00D32F25">
        <w:rPr>
          <w:rFonts w:ascii="Times New Roman" w:eastAsia="Times New Roman" w:hAnsi="Times New Roman" w:cs="Times New Roman"/>
          <w:bCs/>
          <w:kern w:val="0"/>
          <w:sz w:val="28"/>
          <w:szCs w:val="28"/>
          <w:lang w:eastAsia="uk-UA"/>
          <w14:ligatures w14:val="none"/>
        </w:rPr>
        <w:t>дух закону (справжній легі</w:t>
      </w:r>
      <w:r w:rsidR="00D27DE6" w:rsidRPr="00D32F25">
        <w:rPr>
          <w:rFonts w:ascii="Times New Roman" w:eastAsia="Times New Roman" w:hAnsi="Times New Roman" w:cs="Times New Roman"/>
          <w:bCs/>
          <w:kern w:val="0"/>
          <w:sz w:val="28"/>
          <w:szCs w:val="28"/>
          <w:lang w:eastAsia="uk-UA"/>
          <w14:ligatures w14:val="none"/>
        </w:rPr>
        <w:t xml:space="preserve">тимний намір) має перевагу над </w:t>
      </w:r>
      <w:r w:rsidRPr="00D32F25">
        <w:rPr>
          <w:rFonts w:ascii="Times New Roman" w:eastAsia="Times New Roman" w:hAnsi="Times New Roman" w:cs="Times New Roman"/>
          <w:bCs/>
          <w:kern w:val="0"/>
          <w:sz w:val="28"/>
          <w:szCs w:val="28"/>
          <w:lang w:eastAsia="uk-UA"/>
          <w14:ligatures w14:val="none"/>
        </w:rPr>
        <w:t>буквою закону, коли останній використовується для обходу цілей регулювання.</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Також у рішенні у справі «</w:t>
      </w:r>
      <w:r w:rsidRPr="00D32F25">
        <w:rPr>
          <w:rFonts w:ascii="Times New Roman" w:eastAsia="Times New Roman" w:hAnsi="Times New Roman" w:cs="Times New Roman"/>
          <w:kern w:val="0"/>
          <w:sz w:val="28"/>
          <w:szCs w:val="28"/>
          <w:lang w:eastAsia="uk-UA"/>
          <w14:ligatures w14:val="none"/>
        </w:rPr>
        <w:t>Укркава, ТОВ» проти України</w:t>
      </w:r>
      <w:r w:rsidRPr="00D32F25">
        <w:rPr>
          <w:rFonts w:ascii="Times New Roman" w:eastAsia="Times New Roman" w:hAnsi="Times New Roman" w:cs="Times New Roman"/>
          <w:bCs/>
          <w:kern w:val="0"/>
          <w:sz w:val="28"/>
          <w:szCs w:val="28"/>
          <w:lang w:eastAsia="uk-UA"/>
          <w14:ligatures w14:val="none"/>
        </w:rPr>
        <w:t>» («</w:t>
      </w:r>
      <w:r w:rsidRPr="00D32F25">
        <w:rPr>
          <w:rFonts w:ascii="Times New Roman" w:eastAsia="Times New Roman" w:hAnsi="Times New Roman" w:cs="Times New Roman"/>
          <w:kern w:val="0"/>
          <w:sz w:val="28"/>
          <w:szCs w:val="28"/>
          <w:lang w:eastAsia="uk-UA"/>
          <w14:ligatures w14:val="none"/>
        </w:rPr>
        <w:t>Ukrkava, TOV v. Ukraine», заява № 10233/20, п.п. 43-44) ЄСПЛ зазначив, що національні</w:t>
      </w:r>
      <w:r w:rsidRPr="00D32F25">
        <w:rPr>
          <w:rFonts w:ascii="Times New Roman" w:eastAsia="Times New Roman" w:hAnsi="Times New Roman" w:cs="Times New Roman"/>
          <w:bCs/>
          <w:kern w:val="0"/>
          <w:sz w:val="28"/>
          <w:szCs w:val="28"/>
          <w:lang w:eastAsia="uk-UA"/>
          <w14:ligatures w14:val="none"/>
        </w:rPr>
        <w:t xml:space="preserve"> органи влади, і зокрема суди, повинні тлумачити національне законодавство та вирішувати проблеми тлумачення національного законодавства; суд не замінюватиме власне тлумачення своїм за відсутності свавілля. Це стосується, зокрема, тлумачення судами правил процесуального характеру, таких як строки, що регулюють подання документів або подання апеляцій.</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У цьому зв’язку Суд також підкреслив, що право на справедливий суд слід тлумачити у світлі Преамбули Конвенції, яка проголошує верховенство права частиною спільної спадщини Договірних держав. Одним із фундаментальних аспектів верховенства права є принцип правової визначеності, який, серед іншого</w:t>
      </w:r>
      <w:r w:rsidRPr="00D32F25">
        <w:rPr>
          <w:rFonts w:ascii="Times New Roman" w:eastAsia="Times New Roman" w:hAnsi="Times New Roman" w:cs="Times New Roman"/>
          <w:bCs/>
          <w:i/>
          <w:iCs/>
          <w:kern w:val="0"/>
          <w:sz w:val="28"/>
          <w:szCs w:val="28"/>
          <w:lang w:eastAsia="uk-UA"/>
          <w14:ligatures w14:val="none"/>
        </w:rPr>
        <w:t> </w:t>
      </w:r>
      <w:r w:rsidRPr="00D32F25">
        <w:rPr>
          <w:rFonts w:ascii="Times New Roman" w:eastAsia="Times New Roman" w:hAnsi="Times New Roman" w:cs="Times New Roman"/>
          <w:bCs/>
          <w:kern w:val="0"/>
          <w:sz w:val="28"/>
          <w:szCs w:val="28"/>
          <w:lang w:eastAsia="uk-UA"/>
          <w14:ligatures w14:val="none"/>
        </w:rPr>
        <w:t xml:space="preserve">, гарантує певну стабільність </w:t>
      </w:r>
      <w:r w:rsidR="00873162" w:rsidRPr="00D32F25">
        <w:rPr>
          <w:rFonts w:ascii="Times New Roman" w:eastAsia="Times New Roman" w:hAnsi="Times New Roman" w:cs="Times New Roman"/>
          <w:bCs/>
          <w:kern w:val="0"/>
          <w:sz w:val="28"/>
          <w:szCs w:val="28"/>
          <w:lang w:eastAsia="uk-UA"/>
          <w14:ligatures w14:val="none"/>
        </w:rPr>
        <w:t>правовідносин</w:t>
      </w:r>
      <w:r w:rsidRPr="00D32F25">
        <w:rPr>
          <w:rFonts w:ascii="Times New Roman" w:eastAsia="Times New Roman" w:hAnsi="Times New Roman" w:cs="Times New Roman"/>
          <w:bCs/>
          <w:kern w:val="0"/>
          <w:sz w:val="28"/>
          <w:szCs w:val="28"/>
          <w:lang w:eastAsia="uk-UA"/>
          <w14:ligatures w14:val="none"/>
        </w:rPr>
        <w:t xml:space="preserve"> та сприяє довірі громадськості до судів. З іншого боку, постійне існування суперечливих судових рішень може створити </w:t>
      </w:r>
      <w:r w:rsidRPr="00D32F25">
        <w:rPr>
          <w:rFonts w:ascii="Times New Roman" w:eastAsia="Times New Roman" w:hAnsi="Times New Roman" w:cs="Times New Roman"/>
          <w:bCs/>
          <w:kern w:val="0"/>
          <w:sz w:val="28"/>
          <w:szCs w:val="28"/>
          <w:lang w:eastAsia="uk-UA"/>
          <w14:ligatures w14:val="none"/>
        </w:rPr>
        <w:lastRenderedPageBreak/>
        <w:t xml:space="preserve">стан правової невизначеності, що може знизити довіру громадськості до судової системи, тоді як така довіра явно є одним із суттєвих компонентів держави, що ґрунтується на верховенстві права. Крім того, це суперечило б принципу правової визначеності, закріпленому в Конвенції, якби національні суди могли приймати рішення, що суперечать закону, і таким чином тлумачити положення національного законодавства непередбачувано, ґрунтуючись на абстрактному твердженні поза межами будь-якого розумного судового розсуду [46]. </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Подібний підхід щодо аналізу пояснювальних записок до законів ЄСПЛ використав у справі «ТОВ «Світ розваг» та інші проти України» («Svit rozvag, tov and others v. Ukraine», заява № 13290/11 та 2 інші, п.п. 8, 147) [47].</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Також Венеціанська Комісія у своїх висновках критикує ініціативи, які не містять переконливих підстав у пояснювальних записках, або коли зміст записки не відповідає змісту чи меті самого законопроєкту (наприклад, щодо скорочення кількості суддів ВС без обґрунтування реформи), що підкреслює європейський стандарт, відповідно до якого легітимність законодавчих змін вимагає їх чіткого телеологічного обґрунтування у підготовчих документах [48].</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 xml:space="preserve">До того ж важливо звернути увагу на те, що Пояснювальна записка до Бордоської декларації «Судді та прокурори в демократичному суспільстві» визнається офіційним документом Ради Європи, що супроводжує саму декларацію, ухвалену 18 листопада 2009 року в Брдо (Словенія) Консультативною радою європейських суддів (CCJE) та Консультативною радою європейських прокурорів (CCPE). Декларація та пояснювальна записка були підготовлені спільно робочими групами CCJE-GT та CCPE-GT під час зустрічі в Бордо (Франція) </w:t>
      </w:r>
      <w:r w:rsidRPr="00D32F25">
        <w:rPr>
          <w:rFonts w:ascii="Times New Roman" w:eastAsia="Times New Roman" w:hAnsi="Times New Roman" w:cs="Times New Roman"/>
          <w:bCs/>
          <w:kern w:val="0"/>
          <w:sz w:val="26"/>
          <w:szCs w:val="26"/>
          <w:lang w:eastAsia="uk-UA"/>
          <w14:ligatures w14:val="none"/>
        </w:rPr>
        <w:t>[48]</w:t>
      </w:r>
      <w:r w:rsidRPr="00D32F25">
        <w:rPr>
          <w:rFonts w:ascii="Times New Roman" w:eastAsia="Times New Roman" w:hAnsi="Times New Roman" w:cs="Times New Roman"/>
          <w:bCs/>
          <w:kern w:val="0"/>
          <w:sz w:val="28"/>
          <w:szCs w:val="28"/>
          <w:lang w:eastAsia="uk-UA"/>
          <w14:ligatures w14:val="none"/>
        </w:rPr>
        <w:t>.</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Таким чином, аналіз практики ЄСПЛ та інституцій ЄС свідчить про те, що телеологічне тлумачення через призму підготовчих документів є ключовим механізмом для забезпечення того, щоб застосування закону відповідало його справжній меті та принципам верховенства права, запобігаючи як свавільному тлумаченню, так і зловживанню технічними недоліками</w:t>
      </w:r>
      <w:r w:rsidR="00D2535C" w:rsidRPr="00D32F25">
        <w:rPr>
          <w:rFonts w:ascii="Times New Roman" w:eastAsia="Times New Roman" w:hAnsi="Times New Roman" w:cs="Times New Roman"/>
          <w:bCs/>
          <w:kern w:val="0"/>
          <w:sz w:val="28"/>
          <w:szCs w:val="28"/>
          <w:lang w:eastAsia="uk-UA"/>
          <w14:ligatures w14:val="none"/>
        </w:rPr>
        <w:t xml:space="preserve"> закону</w:t>
      </w:r>
      <w:r w:rsidRPr="00D32F25">
        <w:rPr>
          <w:rFonts w:ascii="Times New Roman" w:eastAsia="Times New Roman" w:hAnsi="Times New Roman" w:cs="Times New Roman"/>
          <w:bCs/>
          <w:kern w:val="0"/>
          <w:sz w:val="28"/>
          <w:szCs w:val="28"/>
          <w:lang w:eastAsia="uk-UA"/>
          <w14:ligatures w14:val="none"/>
        </w:rPr>
        <w:t>.</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i/>
          <w:iCs/>
          <w:kern w:val="0"/>
          <w:sz w:val="28"/>
          <w:szCs w:val="28"/>
          <w:lang w:eastAsia="uk-UA"/>
          <w14:ligatures w14:val="none"/>
        </w:rPr>
      </w:pPr>
      <w:r w:rsidRPr="00D32F25">
        <w:rPr>
          <w:rFonts w:ascii="Times New Roman" w:eastAsia="Times New Roman" w:hAnsi="Times New Roman" w:cs="Times New Roman"/>
          <w:bCs/>
          <w:i/>
          <w:iCs/>
          <w:kern w:val="0"/>
          <w:sz w:val="28"/>
          <w:szCs w:val="28"/>
          <w:lang w:eastAsia="uk-UA"/>
          <w14:ligatures w14:val="none"/>
        </w:rPr>
        <w:t xml:space="preserve">5. Критерії допустимості тлумачення закону, що ґрунтується на з’ясуванні волі </w:t>
      </w:r>
      <w:r w:rsidR="00597328" w:rsidRPr="00D32F25">
        <w:rPr>
          <w:rFonts w:ascii="Times New Roman" w:eastAsia="Times New Roman" w:hAnsi="Times New Roman" w:cs="Times New Roman"/>
          <w:bCs/>
          <w:i/>
          <w:iCs/>
          <w:kern w:val="0"/>
          <w:sz w:val="28"/>
          <w:szCs w:val="28"/>
          <w:lang w:eastAsia="uk-UA"/>
          <w14:ligatures w14:val="none"/>
        </w:rPr>
        <w:t>суб’єкта нормотворення</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lastRenderedPageBreak/>
        <w:t>Телеологічне тлумачення, як спосіб</w:t>
      </w:r>
      <w:r w:rsidR="00D27DE6" w:rsidRPr="00D32F25">
        <w:rPr>
          <w:rFonts w:ascii="Times New Roman" w:eastAsia="Times New Roman" w:hAnsi="Times New Roman" w:cs="Times New Roman"/>
          <w:bCs/>
          <w:kern w:val="0"/>
          <w:sz w:val="28"/>
          <w:szCs w:val="28"/>
          <w:lang w:eastAsia="uk-UA"/>
          <w14:ligatures w14:val="none"/>
        </w:rPr>
        <w:t xml:space="preserve"> з’ясування </w:t>
      </w:r>
      <w:r w:rsidRPr="00D32F25">
        <w:rPr>
          <w:rFonts w:ascii="Times New Roman" w:eastAsia="Times New Roman" w:hAnsi="Times New Roman" w:cs="Times New Roman"/>
          <w:bCs/>
          <w:kern w:val="0"/>
          <w:sz w:val="28"/>
          <w:szCs w:val="28"/>
          <w:lang w:eastAsia="uk-UA"/>
          <w14:ligatures w14:val="none"/>
        </w:rPr>
        <w:t>духу закону, є інструментом забезпечення справедливості, проте несе в собі значні ризики надмірно</w:t>
      </w:r>
      <w:r w:rsidR="00D27DE6" w:rsidRPr="00D32F25">
        <w:rPr>
          <w:rFonts w:ascii="Times New Roman" w:eastAsia="Times New Roman" w:hAnsi="Times New Roman" w:cs="Times New Roman"/>
          <w:bCs/>
          <w:kern w:val="0"/>
          <w:sz w:val="28"/>
          <w:szCs w:val="28"/>
          <w:lang w:eastAsia="uk-UA"/>
          <w14:ligatures w14:val="none"/>
        </w:rPr>
        <w:t>го</w:t>
      </w:r>
      <w:r w:rsidRPr="00D32F25">
        <w:rPr>
          <w:rFonts w:ascii="Times New Roman" w:eastAsia="Times New Roman" w:hAnsi="Times New Roman" w:cs="Times New Roman"/>
          <w:bCs/>
          <w:kern w:val="0"/>
          <w:sz w:val="28"/>
          <w:szCs w:val="28"/>
          <w:lang w:eastAsia="uk-UA"/>
          <w14:ligatures w14:val="none"/>
        </w:rPr>
        <w:t xml:space="preserve"> суддівсько</w:t>
      </w:r>
      <w:r w:rsidR="00D27DE6" w:rsidRPr="00D32F25">
        <w:rPr>
          <w:rFonts w:ascii="Times New Roman" w:eastAsia="Times New Roman" w:hAnsi="Times New Roman" w:cs="Times New Roman"/>
          <w:bCs/>
          <w:kern w:val="0"/>
          <w:sz w:val="28"/>
          <w:szCs w:val="28"/>
          <w:lang w:eastAsia="uk-UA"/>
          <w14:ligatures w14:val="none"/>
        </w:rPr>
        <w:t>го</w:t>
      </w:r>
      <w:r w:rsidRPr="00D32F25">
        <w:rPr>
          <w:rFonts w:ascii="Times New Roman" w:eastAsia="Times New Roman" w:hAnsi="Times New Roman" w:cs="Times New Roman"/>
          <w:bCs/>
          <w:kern w:val="0"/>
          <w:sz w:val="28"/>
          <w:szCs w:val="28"/>
          <w:lang w:eastAsia="uk-UA"/>
          <w14:ligatures w14:val="none"/>
        </w:rPr>
        <w:t xml:space="preserve"> </w:t>
      </w:r>
      <w:r w:rsidR="00D27DE6" w:rsidRPr="00D32F25">
        <w:rPr>
          <w:rFonts w:ascii="Times New Roman" w:eastAsia="Times New Roman" w:hAnsi="Times New Roman" w:cs="Times New Roman"/>
          <w:bCs/>
          <w:kern w:val="0"/>
          <w:sz w:val="28"/>
          <w:szCs w:val="28"/>
          <w:lang w:eastAsia="uk-UA"/>
          <w14:ligatures w14:val="none"/>
        </w:rPr>
        <w:t>розсуду</w:t>
      </w:r>
      <w:r w:rsidRPr="00D32F25">
        <w:rPr>
          <w:rFonts w:ascii="Times New Roman" w:eastAsia="Times New Roman" w:hAnsi="Times New Roman" w:cs="Times New Roman"/>
          <w:bCs/>
          <w:kern w:val="0"/>
          <w:sz w:val="28"/>
          <w:szCs w:val="28"/>
          <w:lang w:eastAsia="uk-UA"/>
          <w14:ligatures w14:val="none"/>
        </w:rPr>
        <w:t xml:space="preserve"> та </w:t>
      </w:r>
      <w:r w:rsidR="00D2535C" w:rsidRPr="00D32F25">
        <w:rPr>
          <w:rFonts w:ascii="Times New Roman" w:eastAsia="Times New Roman" w:hAnsi="Times New Roman" w:cs="Times New Roman"/>
          <w:bCs/>
          <w:kern w:val="0"/>
          <w:sz w:val="28"/>
          <w:szCs w:val="28"/>
          <w:lang w:eastAsia="uk-UA"/>
          <w14:ligatures w14:val="none"/>
        </w:rPr>
        <w:t xml:space="preserve">зловживання </w:t>
      </w:r>
      <w:r w:rsidRPr="00D32F25">
        <w:rPr>
          <w:rFonts w:ascii="Times New Roman" w:eastAsia="Times New Roman" w:hAnsi="Times New Roman" w:cs="Times New Roman"/>
          <w:bCs/>
          <w:kern w:val="0"/>
          <w:sz w:val="28"/>
          <w:szCs w:val="28"/>
          <w:lang w:eastAsia="uk-UA"/>
          <w14:ligatures w14:val="none"/>
        </w:rPr>
        <w:t>суддівськ</w:t>
      </w:r>
      <w:r w:rsidR="00D2535C" w:rsidRPr="00D32F25">
        <w:rPr>
          <w:rFonts w:ascii="Times New Roman" w:eastAsia="Times New Roman" w:hAnsi="Times New Roman" w:cs="Times New Roman"/>
          <w:bCs/>
          <w:kern w:val="0"/>
          <w:sz w:val="28"/>
          <w:szCs w:val="28"/>
          <w:lang w:eastAsia="uk-UA"/>
          <w14:ligatures w14:val="none"/>
        </w:rPr>
        <w:t>им</w:t>
      </w:r>
      <w:r w:rsidRPr="00D32F25">
        <w:rPr>
          <w:rFonts w:ascii="Times New Roman" w:eastAsia="Times New Roman" w:hAnsi="Times New Roman" w:cs="Times New Roman"/>
          <w:bCs/>
          <w:kern w:val="0"/>
          <w:sz w:val="28"/>
          <w:szCs w:val="28"/>
          <w:lang w:eastAsia="uk-UA"/>
          <w14:ligatures w14:val="none"/>
        </w:rPr>
        <w:t xml:space="preserve"> активізм</w:t>
      </w:r>
      <w:r w:rsidR="00D2535C" w:rsidRPr="00D32F25">
        <w:rPr>
          <w:rFonts w:ascii="Times New Roman" w:eastAsia="Times New Roman" w:hAnsi="Times New Roman" w:cs="Times New Roman"/>
          <w:bCs/>
          <w:kern w:val="0"/>
          <w:sz w:val="28"/>
          <w:szCs w:val="28"/>
          <w:lang w:eastAsia="uk-UA"/>
          <w14:ligatures w14:val="none"/>
        </w:rPr>
        <w:t>ом</w:t>
      </w:r>
      <w:r w:rsidRPr="00D32F25">
        <w:rPr>
          <w:rFonts w:ascii="Times New Roman" w:eastAsia="Times New Roman" w:hAnsi="Times New Roman" w:cs="Times New Roman"/>
          <w:bCs/>
          <w:kern w:val="0"/>
          <w:sz w:val="28"/>
          <w:szCs w:val="28"/>
          <w:lang w:eastAsia="uk-UA"/>
          <w14:ligatures w14:val="none"/>
        </w:rPr>
        <w:t>. Утвердження верховенства права вимагає встановлення чітких меж для цієї дискреції.</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 xml:space="preserve">Згідно з позицією Венеціанської комісії дискрецію органів публічної влади та суб’єктів правозастосування необхідно обмежувати буквою та метою закону, яким відповідні повноваження надаються, а також іншими елементами правовладдя. Ключовим викликом для всіх стейкхолдерів </w:t>
      </w:r>
      <w:r w:rsidR="00D27DE6" w:rsidRPr="00D32F25">
        <w:rPr>
          <w:rFonts w:ascii="Times New Roman" w:eastAsia="Times New Roman" w:hAnsi="Times New Roman" w:cs="Times New Roman"/>
          <w:bCs/>
          <w:kern w:val="0"/>
          <w:sz w:val="28"/>
          <w:szCs w:val="28"/>
          <w:lang w:eastAsia="uk-UA"/>
          <w14:ligatures w14:val="none"/>
        </w:rPr>
        <w:t xml:space="preserve">залишається дотримання </w:t>
      </w:r>
      <w:r w:rsidRPr="00D32F25">
        <w:rPr>
          <w:rFonts w:ascii="Times New Roman" w:eastAsia="Times New Roman" w:hAnsi="Times New Roman" w:cs="Times New Roman"/>
          <w:bCs/>
          <w:kern w:val="0"/>
          <w:sz w:val="28"/>
          <w:szCs w:val="28"/>
          <w:lang w:eastAsia="uk-UA"/>
          <w14:ligatures w14:val="none"/>
        </w:rPr>
        <w:t>букви і духу закону, що сприяє послідовному, однаковому застосуванню законодавства та унеможливлює свавільність [16].</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 xml:space="preserve">Для судової практики цей принцип трансформується у </w:t>
      </w:r>
      <w:r w:rsidR="00226E5A">
        <w:rPr>
          <w:rFonts w:ascii="Times New Roman" w:eastAsia="Times New Roman" w:hAnsi="Times New Roman" w:cs="Times New Roman"/>
          <w:bCs/>
          <w:kern w:val="0"/>
          <w:sz w:val="28"/>
          <w:szCs w:val="28"/>
          <w:lang w:eastAsia="uk-UA"/>
          <w14:ligatures w14:val="none"/>
        </w:rPr>
        <w:t>методологічну</w:t>
      </w:r>
      <w:r w:rsidRPr="00D32F25">
        <w:rPr>
          <w:rFonts w:ascii="Times New Roman" w:eastAsia="Times New Roman" w:hAnsi="Times New Roman" w:cs="Times New Roman"/>
          <w:bCs/>
          <w:kern w:val="0"/>
          <w:sz w:val="28"/>
          <w:szCs w:val="28"/>
          <w:lang w:eastAsia="uk-UA"/>
          <w14:ligatures w14:val="none"/>
        </w:rPr>
        <w:t xml:space="preserve"> настанову: не застосовувати закон відповідно до його букви, якщо це призведе до порушення легітимних цілей закону [50]. З’ясування справжніх цілей закону із преамбули, пояснювальної записки, стенограм та аналізу проблеми, на вирішення якої спрямовано акт, дає суду можливість надати нормі правильне тлумачення. Це, своєю чергою, сприяє прогнозованості судових рішень та однаковому застосуванню законодавства, що є однією з ключових вимог принципу правової визначеності.</w:t>
      </w:r>
      <w:r w:rsidR="00226E5A">
        <w:rPr>
          <w:rFonts w:ascii="Times New Roman" w:eastAsia="Times New Roman" w:hAnsi="Times New Roman" w:cs="Times New Roman"/>
          <w:bCs/>
          <w:kern w:val="0"/>
          <w:sz w:val="28"/>
          <w:szCs w:val="28"/>
          <w:lang w:eastAsia="uk-UA"/>
          <w14:ligatures w14:val="none"/>
        </w:rPr>
        <w:t xml:space="preserve"> </w:t>
      </w:r>
      <w:r w:rsidR="00226E5A" w:rsidRPr="00226E5A">
        <w:rPr>
          <w:rFonts w:ascii="Times New Roman" w:eastAsia="Times New Roman" w:hAnsi="Times New Roman" w:cs="Times New Roman"/>
          <w:bCs/>
          <w:kern w:val="0"/>
          <w:sz w:val="28"/>
          <w:szCs w:val="28"/>
          <w:lang w:eastAsia="uk-UA"/>
          <w14:ligatures w14:val="none"/>
        </w:rPr>
        <w:t>Важливим запобіжником тут виступає тест на передбачуваність: телеологічне тлумачення є допустимим доти, доки воно не створює для особи ситуацію "непередбачуваного обтяження", тобто не призводить до покладання обов'язків, які неможливо було вивести із тексту норми навіть з урахуванням її мети</w:t>
      </w:r>
      <w:r w:rsidR="00226E5A">
        <w:rPr>
          <w:rFonts w:ascii="Times New Roman" w:eastAsia="Times New Roman" w:hAnsi="Times New Roman" w:cs="Times New Roman"/>
          <w:bCs/>
          <w:kern w:val="0"/>
          <w:sz w:val="28"/>
          <w:szCs w:val="28"/>
          <w:lang w:eastAsia="uk-UA"/>
          <w14:ligatures w14:val="none"/>
        </w:rPr>
        <w:t>.</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 xml:space="preserve">Подібний підхід є універсальним і підтверджується міжнародним правом. Так, стаття 31 Віденської конвенції про право міжнародних договорів встановлює, що договір повинен тлумачитись добросовісно у світлі його об'єкта і цілей, враховуючи контекст (включно з преамбулою). Підготовчі матеріали (ст. 32) можуть бути використані як додаткові засоби тлумачення для підтвердження значення або усунення двоякості, неясності, абсурдності чи нерозумності результатів, до яких призводить текстуальне тлумачення [51]. </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 xml:space="preserve">З цього приводу слушною є позиція Верховного Суду США, викладена у рішенні у справі «U.S. v. Two Hundred Barrels of Whiskey», відповідно до якої </w:t>
      </w:r>
      <w:r w:rsidRPr="00D32F25">
        <w:rPr>
          <w:rFonts w:ascii="Times New Roman" w:eastAsia="Times New Roman" w:hAnsi="Times New Roman" w:cs="Times New Roman"/>
          <w:bCs/>
          <w:kern w:val="0"/>
          <w:sz w:val="28"/>
          <w:szCs w:val="28"/>
          <w:lang w:eastAsia="uk-UA"/>
          <w14:ligatures w14:val="none"/>
        </w:rPr>
        <w:lastRenderedPageBreak/>
        <w:t>обов`язком суду є вивчати весь закон, його реальний зміст, дух, мету, формулювання і використовувати його очевидне і природне значення для читання акта з цією метою у спосіб, який буде найкращим чином відображати мету законодавця; законодавча мета є путівником для належної судової інтерпретації [52].</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З’ясування волі законодавця слугує також дотриманню принципу поділу державної влади. Суд, використовуючи телеологічне тлумачення, має реалізовувати регулювальні функції, закладені законодавцем, а не створювати нові норми, привласнюючи собі нормотворчу компетенцію. В іншому випадку виникає ризик незастосування судом закону, що може призвести до системних порушень. Ця напруга особливо помітна у соціальних спорах (наприклад, щодо одноразової грошової допомоги «до 5 травня»), де суд балансує між захистом соціальних прав та необхідністю поважати дискрецію законодавця у визначенні фінансових можливостей держави.</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 xml:space="preserve">Зрештою, тлумачення закону має бути невід’ємно пов’язане з верховенством права. Як зазначає ЄСПЛ, цей принцип не має єдиного визначення, а є еволюційним, ситуативним та включає множину складових: якість законодавства, юридична визначеність, рівність перед законом та уникнення </w:t>
      </w:r>
      <w:r w:rsidR="00D27DE6" w:rsidRPr="00D32F25">
        <w:rPr>
          <w:rFonts w:ascii="Times New Roman" w:eastAsia="Times New Roman" w:hAnsi="Times New Roman" w:cs="Times New Roman"/>
          <w:bCs/>
          <w:kern w:val="0"/>
          <w:sz w:val="28"/>
          <w:szCs w:val="28"/>
          <w:lang w:eastAsia="uk-UA"/>
          <w14:ligatures w14:val="none"/>
        </w:rPr>
        <w:t>надмірного суддівського активізму</w:t>
      </w:r>
      <w:r w:rsidRPr="00D32F25">
        <w:rPr>
          <w:rFonts w:ascii="Times New Roman" w:eastAsia="Times New Roman" w:hAnsi="Times New Roman" w:cs="Times New Roman"/>
          <w:bCs/>
          <w:kern w:val="0"/>
          <w:sz w:val="28"/>
          <w:szCs w:val="28"/>
          <w:lang w:eastAsia="uk-UA"/>
          <w14:ligatures w14:val="none"/>
        </w:rPr>
        <w:t>. КСУ, у свою чергу, наголошує, що зміст його рішень має бути спрямований на неухильне дотримання духу і букви нормативних положень Конституції України та її преамбули (наприклад, у питаннях статусу української мови) [7].</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Таким чином, телеологічне тлумачення є легітимним та необхідним, але його межі пролягають там, де дух закону починає суперечити принципу поділу влади або призводит</w:t>
      </w:r>
      <w:r w:rsidR="00954515" w:rsidRPr="00D32F25">
        <w:rPr>
          <w:rFonts w:ascii="Times New Roman" w:eastAsia="Times New Roman" w:hAnsi="Times New Roman" w:cs="Times New Roman"/>
          <w:bCs/>
          <w:kern w:val="0"/>
          <w:sz w:val="28"/>
          <w:szCs w:val="28"/>
          <w:lang w:eastAsia="uk-UA"/>
          <w14:ligatures w14:val="none"/>
        </w:rPr>
        <w:t>ь до порушення інших складових в</w:t>
      </w:r>
      <w:r w:rsidRPr="00D32F25">
        <w:rPr>
          <w:rFonts w:ascii="Times New Roman" w:eastAsia="Times New Roman" w:hAnsi="Times New Roman" w:cs="Times New Roman"/>
          <w:bCs/>
          <w:kern w:val="0"/>
          <w:sz w:val="28"/>
          <w:szCs w:val="28"/>
          <w:lang w:eastAsia="uk-UA"/>
          <w14:ligatures w14:val="none"/>
        </w:rPr>
        <w:t>ерховенства права. Дотримання букви і духу закону через аналіз його мети забезпечує обґрунтованість, прогнозованість судових рішень, а також їх відповідність легітимній меті державної політики, а не суб’єктивним намірам окремих суб’єктів тлумачення.</w:t>
      </w:r>
    </w:p>
    <w:p w:rsidR="008513B9" w:rsidRPr="00D32F25" w:rsidRDefault="00D27DE6" w:rsidP="008513B9">
      <w:pPr>
        <w:tabs>
          <w:tab w:val="left" w:pos="1134"/>
        </w:tabs>
        <w:spacing w:after="0" w:line="360" w:lineRule="auto"/>
        <w:ind w:firstLine="567"/>
        <w:jc w:val="both"/>
        <w:rPr>
          <w:rFonts w:ascii="Times New Roman" w:eastAsia="Times New Roman" w:hAnsi="Times New Roman" w:cs="Times New Roman"/>
          <w:bCs/>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 xml:space="preserve">Проте, застосування </w:t>
      </w:r>
      <w:r w:rsidR="008513B9" w:rsidRPr="00D32F25">
        <w:rPr>
          <w:rFonts w:ascii="Times New Roman" w:eastAsia="Times New Roman" w:hAnsi="Times New Roman" w:cs="Times New Roman"/>
          <w:bCs/>
          <w:kern w:val="0"/>
          <w:sz w:val="28"/>
          <w:szCs w:val="28"/>
          <w:lang w:eastAsia="uk-UA"/>
          <w14:ligatures w14:val="none"/>
        </w:rPr>
        <w:t xml:space="preserve">духу закону вимагає </w:t>
      </w:r>
      <w:r w:rsidR="008513B9" w:rsidRPr="00D32F25">
        <w:rPr>
          <w:rFonts w:ascii="Times New Roman" w:eastAsia="Times New Roman" w:hAnsi="Times New Roman" w:cs="Times New Roman"/>
          <w:kern w:val="0"/>
          <w:sz w:val="28"/>
          <w:szCs w:val="28"/>
          <w:lang w:eastAsia="uk-UA"/>
          <w14:ligatures w14:val="none"/>
        </w:rPr>
        <w:t xml:space="preserve">зваженого і критичного підходу та дотримання чітких методологічних меж, оскільки воно не повинно підміняти собою законодавця, виходити за рамки можливого смислового навантаження </w:t>
      </w:r>
      <w:r w:rsidR="008513B9" w:rsidRPr="00D32F25">
        <w:rPr>
          <w:rFonts w:ascii="Times New Roman" w:eastAsia="Times New Roman" w:hAnsi="Times New Roman" w:cs="Times New Roman"/>
          <w:kern w:val="0"/>
          <w:sz w:val="28"/>
          <w:szCs w:val="28"/>
          <w:lang w:eastAsia="uk-UA"/>
          <w14:ligatures w14:val="none"/>
        </w:rPr>
        <w:lastRenderedPageBreak/>
        <w:t>норми (contra legem) чи порушувати принцип поділу влади та правової визначеності, що може призвести до надмірно</w:t>
      </w:r>
      <w:r w:rsidRPr="00D32F25">
        <w:rPr>
          <w:rFonts w:ascii="Times New Roman" w:eastAsia="Times New Roman" w:hAnsi="Times New Roman" w:cs="Times New Roman"/>
          <w:kern w:val="0"/>
          <w:sz w:val="28"/>
          <w:szCs w:val="28"/>
          <w:lang w:eastAsia="uk-UA"/>
          <w14:ligatures w14:val="none"/>
        </w:rPr>
        <w:t>го</w:t>
      </w:r>
      <w:r w:rsidR="008513B9" w:rsidRPr="00D32F25">
        <w:rPr>
          <w:rFonts w:ascii="Times New Roman" w:eastAsia="Times New Roman" w:hAnsi="Times New Roman" w:cs="Times New Roman"/>
          <w:kern w:val="0"/>
          <w:sz w:val="28"/>
          <w:szCs w:val="28"/>
          <w:lang w:eastAsia="uk-UA"/>
          <w14:ligatures w14:val="none"/>
        </w:rPr>
        <w:t xml:space="preserve"> </w:t>
      </w:r>
      <w:r w:rsidR="00D2535C" w:rsidRPr="00D32F25">
        <w:rPr>
          <w:rFonts w:ascii="Times New Roman" w:eastAsia="Times New Roman" w:hAnsi="Times New Roman" w:cs="Times New Roman"/>
          <w:kern w:val="0"/>
          <w:sz w:val="28"/>
          <w:szCs w:val="28"/>
          <w:lang w:eastAsia="uk-UA"/>
          <w14:ligatures w14:val="none"/>
        </w:rPr>
        <w:t>суддівського розсуду та зловживань суддівським активізмом</w:t>
      </w:r>
      <w:r w:rsidR="008513B9" w:rsidRPr="00D32F25">
        <w:rPr>
          <w:rFonts w:ascii="Times New Roman" w:eastAsia="Times New Roman" w:hAnsi="Times New Roman" w:cs="Times New Roman"/>
          <w:kern w:val="0"/>
          <w:sz w:val="28"/>
          <w:szCs w:val="28"/>
          <w:lang w:eastAsia="uk-UA"/>
          <w14:ligatures w14:val="none"/>
        </w:rPr>
        <w:t>. В умовах суспільни</w:t>
      </w:r>
      <w:r w:rsidRPr="00D32F25">
        <w:rPr>
          <w:rFonts w:ascii="Times New Roman" w:eastAsia="Times New Roman" w:hAnsi="Times New Roman" w:cs="Times New Roman"/>
          <w:kern w:val="0"/>
          <w:sz w:val="28"/>
          <w:szCs w:val="28"/>
          <w:lang w:eastAsia="uk-UA"/>
          <w14:ligatures w14:val="none"/>
        </w:rPr>
        <w:t>х трансформацій, коли д</w:t>
      </w:r>
      <w:r w:rsidR="008513B9" w:rsidRPr="00D32F25">
        <w:rPr>
          <w:rFonts w:ascii="Times New Roman" w:eastAsia="Times New Roman" w:hAnsi="Times New Roman" w:cs="Times New Roman"/>
          <w:kern w:val="0"/>
          <w:sz w:val="28"/>
          <w:szCs w:val="28"/>
          <w:lang w:eastAsia="uk-UA"/>
          <w14:ligatures w14:val="none"/>
        </w:rPr>
        <w:t>ух закону є динамічним, суди несуть особливу відповідальність за забезпечення д</w:t>
      </w:r>
      <w:r w:rsidRPr="00D32F25">
        <w:rPr>
          <w:rFonts w:ascii="Times New Roman" w:eastAsia="Times New Roman" w:hAnsi="Times New Roman" w:cs="Times New Roman"/>
          <w:kern w:val="0"/>
          <w:sz w:val="28"/>
          <w:szCs w:val="28"/>
          <w:lang w:eastAsia="uk-UA"/>
          <w14:ligatures w14:val="none"/>
        </w:rPr>
        <w:t xml:space="preserve">инамічного балансу між суворою </w:t>
      </w:r>
      <w:r w:rsidR="008513B9" w:rsidRPr="00D32F25">
        <w:rPr>
          <w:rFonts w:ascii="Times New Roman" w:eastAsia="Times New Roman" w:hAnsi="Times New Roman" w:cs="Times New Roman"/>
          <w:kern w:val="0"/>
          <w:sz w:val="28"/>
          <w:szCs w:val="28"/>
          <w:lang w:eastAsia="uk-UA"/>
          <w14:ligatures w14:val="none"/>
        </w:rPr>
        <w:t>буквою закону та його актуальною, розумною метою, що є запорукою справедливості, передбачуваності</w:t>
      </w:r>
      <w:r w:rsidR="008513B9" w:rsidRPr="00D32F25">
        <w:rPr>
          <w:rFonts w:ascii="Times New Roman" w:eastAsia="Times New Roman" w:hAnsi="Times New Roman" w:cs="Times New Roman"/>
          <w:bCs/>
          <w:kern w:val="0"/>
          <w:sz w:val="28"/>
          <w:szCs w:val="28"/>
          <w:lang w:eastAsia="uk-UA"/>
          <w14:ligatures w14:val="none"/>
        </w:rPr>
        <w:t xml:space="preserve"> та утвердження правовладдя.</w:t>
      </w:r>
    </w:p>
    <w:p w:rsidR="008513B9" w:rsidRPr="00D32F25" w:rsidRDefault="008513B9" w:rsidP="008513B9">
      <w:pPr>
        <w:tabs>
          <w:tab w:val="left" w:pos="1134"/>
        </w:tabs>
        <w:spacing w:after="0" w:line="360" w:lineRule="auto"/>
        <w:ind w:firstLine="567"/>
        <w:jc w:val="both"/>
        <w:rPr>
          <w:rFonts w:ascii="Times New Roman" w:eastAsia="Times New Roman" w:hAnsi="Times New Roman" w:cs="Times New Roman"/>
          <w:b/>
          <w:bCs/>
          <w:kern w:val="0"/>
          <w:sz w:val="28"/>
          <w:szCs w:val="28"/>
          <w:lang w:eastAsia="uk-UA"/>
          <w14:ligatures w14:val="none"/>
        </w:rPr>
      </w:pPr>
    </w:p>
    <w:p w:rsidR="00954515" w:rsidRPr="00D32F25" w:rsidRDefault="008513B9" w:rsidP="00954515">
      <w:pPr>
        <w:tabs>
          <w:tab w:val="left" w:pos="1134"/>
        </w:tabs>
        <w:spacing w:after="0" w:line="360" w:lineRule="auto"/>
        <w:ind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b/>
          <w:bCs/>
          <w:kern w:val="0"/>
          <w:sz w:val="28"/>
          <w:szCs w:val="28"/>
          <w:lang w:eastAsia="uk-UA"/>
          <w14:ligatures w14:val="none"/>
        </w:rPr>
        <w:t xml:space="preserve">Висновки. </w:t>
      </w:r>
    </w:p>
    <w:p w:rsidR="008513B9" w:rsidRPr="00D32F25" w:rsidRDefault="00DF0FC5" w:rsidP="00954515">
      <w:pPr>
        <w:pStyle w:val="a9"/>
        <w:numPr>
          <w:ilvl w:val="0"/>
          <w:numId w:val="26"/>
        </w:numPr>
        <w:tabs>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Підготовчі матеріали до проєктів відповідних актів законодавства (пояснювальні записки, стенограми обговорень, висновки профільних комітетів тощо) та преамбули ухвалених актів</w:t>
      </w:r>
      <w:r w:rsidR="00597328" w:rsidRPr="00D32F25">
        <w:rPr>
          <w:rFonts w:ascii="Times New Roman" w:eastAsia="Times New Roman" w:hAnsi="Times New Roman" w:cs="Times New Roman"/>
          <w:kern w:val="0"/>
          <w:sz w:val="28"/>
          <w:szCs w:val="28"/>
          <w:lang w:eastAsia="uk-UA"/>
          <w14:ligatures w14:val="none"/>
        </w:rPr>
        <w:t xml:space="preserve"> є </w:t>
      </w:r>
      <w:r w:rsidR="00954515" w:rsidRPr="00D32F25">
        <w:rPr>
          <w:rFonts w:ascii="Times New Roman" w:eastAsia="Times New Roman" w:hAnsi="Times New Roman" w:cs="Times New Roman"/>
          <w:kern w:val="0"/>
          <w:sz w:val="28"/>
          <w:szCs w:val="28"/>
          <w:lang w:eastAsia="uk-UA"/>
          <w14:ligatures w14:val="none"/>
        </w:rPr>
        <w:t>ефективним</w:t>
      </w:r>
      <w:r w:rsidR="008513B9" w:rsidRPr="00D32F25">
        <w:rPr>
          <w:rFonts w:ascii="Times New Roman" w:eastAsia="Times New Roman" w:hAnsi="Times New Roman" w:cs="Times New Roman"/>
          <w:kern w:val="0"/>
          <w:sz w:val="28"/>
          <w:szCs w:val="28"/>
          <w:lang w:eastAsia="uk-UA"/>
          <w14:ligatures w14:val="none"/>
        </w:rPr>
        <w:t xml:space="preserve"> інструментом для реконструкції історичного контексту ухвалення </w:t>
      </w:r>
      <w:r w:rsidR="00954515" w:rsidRPr="00D32F25">
        <w:rPr>
          <w:rFonts w:ascii="Times New Roman" w:eastAsia="Times New Roman" w:hAnsi="Times New Roman" w:cs="Times New Roman"/>
          <w:kern w:val="0"/>
          <w:sz w:val="28"/>
          <w:szCs w:val="28"/>
          <w:lang w:eastAsia="uk-UA"/>
          <w14:ligatures w14:val="none"/>
        </w:rPr>
        <w:t xml:space="preserve">акта </w:t>
      </w:r>
      <w:r w:rsidR="008513B9" w:rsidRPr="00D32F25">
        <w:rPr>
          <w:rFonts w:ascii="Times New Roman" w:eastAsia="Times New Roman" w:hAnsi="Times New Roman" w:cs="Times New Roman"/>
          <w:kern w:val="0"/>
          <w:sz w:val="28"/>
          <w:szCs w:val="28"/>
          <w:lang w:eastAsia="uk-UA"/>
          <w14:ligatures w14:val="none"/>
        </w:rPr>
        <w:t>закон</w:t>
      </w:r>
      <w:r w:rsidR="00954515" w:rsidRPr="00D32F25">
        <w:rPr>
          <w:rFonts w:ascii="Times New Roman" w:eastAsia="Times New Roman" w:hAnsi="Times New Roman" w:cs="Times New Roman"/>
          <w:kern w:val="0"/>
          <w:sz w:val="28"/>
          <w:szCs w:val="28"/>
          <w:lang w:eastAsia="uk-UA"/>
          <w14:ligatures w14:val="none"/>
        </w:rPr>
        <w:t>одавства</w:t>
      </w:r>
      <w:r w:rsidR="008513B9" w:rsidRPr="00D32F25">
        <w:rPr>
          <w:rFonts w:ascii="Times New Roman" w:eastAsia="Times New Roman" w:hAnsi="Times New Roman" w:cs="Times New Roman"/>
          <w:kern w:val="0"/>
          <w:sz w:val="28"/>
          <w:szCs w:val="28"/>
          <w:lang w:eastAsia="uk-UA"/>
          <w14:ligatures w14:val="none"/>
        </w:rPr>
        <w:t xml:space="preserve"> та з’ясування справжньої волі законодавця</w:t>
      </w:r>
      <w:r w:rsidR="00597328" w:rsidRPr="00D32F25">
        <w:rPr>
          <w:rFonts w:ascii="Times New Roman" w:eastAsia="Times New Roman" w:hAnsi="Times New Roman" w:cs="Times New Roman"/>
          <w:kern w:val="0"/>
          <w:sz w:val="28"/>
          <w:szCs w:val="28"/>
          <w:lang w:eastAsia="uk-UA"/>
          <w14:ligatures w14:val="none"/>
        </w:rPr>
        <w:t xml:space="preserve"> або іншого суб’єкта нормотворення</w:t>
      </w:r>
      <w:r w:rsidR="008513B9" w:rsidRPr="00D32F25">
        <w:rPr>
          <w:rFonts w:ascii="Times New Roman" w:eastAsia="Times New Roman" w:hAnsi="Times New Roman" w:cs="Times New Roman"/>
          <w:kern w:val="0"/>
          <w:sz w:val="28"/>
          <w:szCs w:val="28"/>
          <w:lang w:eastAsia="uk-UA"/>
          <w14:ligatures w14:val="none"/>
        </w:rPr>
        <w:t xml:space="preserve"> (духу закону). Системний аналіз цих документів дозволяє вийти за межі суто лінгвістичного (текстуального) значення норми</w:t>
      </w:r>
      <w:r w:rsidR="00954515" w:rsidRPr="00D32F25">
        <w:rPr>
          <w:rFonts w:ascii="Times New Roman" w:eastAsia="Times New Roman" w:hAnsi="Times New Roman" w:cs="Times New Roman"/>
          <w:kern w:val="0"/>
          <w:sz w:val="28"/>
          <w:szCs w:val="28"/>
          <w:lang w:eastAsia="uk-UA"/>
          <w14:ligatures w14:val="none"/>
        </w:rPr>
        <w:t xml:space="preserve"> права</w:t>
      </w:r>
      <w:r w:rsidR="008513B9" w:rsidRPr="00D32F25">
        <w:rPr>
          <w:rFonts w:ascii="Times New Roman" w:eastAsia="Times New Roman" w:hAnsi="Times New Roman" w:cs="Times New Roman"/>
          <w:kern w:val="0"/>
          <w:sz w:val="28"/>
          <w:szCs w:val="28"/>
          <w:lang w:eastAsia="uk-UA"/>
          <w14:ligatures w14:val="none"/>
        </w:rPr>
        <w:t xml:space="preserve">, ідентифікувати суспільні проблеми, на вирішення яких був спрямований акт, та зрозуміти глибші соціально-політичні й економічні цілі, що їх переслідував </w:t>
      </w:r>
      <w:r w:rsidR="000F44E0">
        <w:rPr>
          <w:rFonts w:ascii="Times New Roman" w:eastAsia="Times New Roman" w:hAnsi="Times New Roman" w:cs="Times New Roman"/>
          <w:kern w:val="0"/>
          <w:sz w:val="28"/>
          <w:szCs w:val="28"/>
          <w:lang w:eastAsia="uk-UA"/>
          <w14:ligatures w14:val="none"/>
        </w:rPr>
        <w:t xml:space="preserve">відповідний </w:t>
      </w:r>
      <w:r w:rsidR="000F44E0" w:rsidRPr="00D32F25">
        <w:rPr>
          <w:rFonts w:ascii="Times New Roman" w:eastAsia="Times New Roman" w:hAnsi="Times New Roman" w:cs="Times New Roman"/>
          <w:kern w:val="0"/>
          <w:sz w:val="28"/>
          <w:szCs w:val="28"/>
          <w:lang w:eastAsia="uk-UA"/>
          <w14:ligatures w14:val="none"/>
        </w:rPr>
        <w:t>суб’єкт нормотворення</w:t>
      </w:r>
      <w:r w:rsidR="008513B9" w:rsidRPr="00D32F25">
        <w:rPr>
          <w:rFonts w:ascii="Times New Roman" w:eastAsia="Times New Roman" w:hAnsi="Times New Roman" w:cs="Times New Roman"/>
          <w:kern w:val="0"/>
          <w:sz w:val="28"/>
          <w:szCs w:val="28"/>
          <w:lang w:eastAsia="uk-UA"/>
          <w14:ligatures w14:val="none"/>
        </w:rPr>
        <w:t xml:space="preserve">. Такий підхід є критично важливим для </w:t>
      </w:r>
      <w:r w:rsidR="00873162" w:rsidRPr="00D32F25">
        <w:rPr>
          <w:rFonts w:ascii="Times New Roman" w:eastAsia="Times New Roman" w:hAnsi="Times New Roman" w:cs="Times New Roman"/>
          <w:kern w:val="0"/>
          <w:sz w:val="28"/>
          <w:szCs w:val="28"/>
          <w:lang w:eastAsia="uk-UA"/>
          <w14:ligatures w14:val="none"/>
        </w:rPr>
        <w:t xml:space="preserve">подолання </w:t>
      </w:r>
      <w:r w:rsidR="008513B9" w:rsidRPr="00D32F25">
        <w:rPr>
          <w:rFonts w:ascii="Times New Roman" w:eastAsia="Times New Roman" w:hAnsi="Times New Roman" w:cs="Times New Roman"/>
          <w:kern w:val="0"/>
          <w:sz w:val="28"/>
          <w:szCs w:val="28"/>
          <w:lang w:eastAsia="uk-UA"/>
          <w14:ligatures w14:val="none"/>
        </w:rPr>
        <w:t>прогалин</w:t>
      </w:r>
      <w:r w:rsidR="00954515" w:rsidRPr="00D32F25">
        <w:rPr>
          <w:rFonts w:ascii="Times New Roman" w:eastAsia="Times New Roman" w:hAnsi="Times New Roman" w:cs="Times New Roman"/>
          <w:kern w:val="0"/>
          <w:sz w:val="28"/>
          <w:szCs w:val="28"/>
          <w:lang w:eastAsia="uk-UA"/>
          <w14:ligatures w14:val="none"/>
        </w:rPr>
        <w:t xml:space="preserve"> та</w:t>
      </w:r>
      <w:r w:rsidR="008513B9" w:rsidRPr="00D32F25">
        <w:rPr>
          <w:rFonts w:ascii="Times New Roman" w:eastAsia="Times New Roman" w:hAnsi="Times New Roman" w:cs="Times New Roman"/>
          <w:kern w:val="0"/>
          <w:sz w:val="28"/>
          <w:szCs w:val="28"/>
          <w:lang w:eastAsia="uk-UA"/>
          <w14:ligatures w14:val="none"/>
        </w:rPr>
        <w:t xml:space="preserve"> вирішення колізій </w:t>
      </w:r>
      <w:r w:rsidR="00954515" w:rsidRPr="00D32F25">
        <w:rPr>
          <w:rFonts w:ascii="Times New Roman" w:eastAsia="Times New Roman" w:hAnsi="Times New Roman" w:cs="Times New Roman"/>
          <w:kern w:val="0"/>
          <w:sz w:val="28"/>
          <w:szCs w:val="28"/>
          <w:lang w:eastAsia="uk-UA"/>
          <w14:ligatures w14:val="none"/>
        </w:rPr>
        <w:t>через</w:t>
      </w:r>
      <w:r w:rsidR="008513B9" w:rsidRPr="00D32F25">
        <w:rPr>
          <w:rFonts w:ascii="Times New Roman" w:eastAsia="Times New Roman" w:hAnsi="Times New Roman" w:cs="Times New Roman"/>
          <w:kern w:val="0"/>
          <w:sz w:val="28"/>
          <w:szCs w:val="28"/>
          <w:lang w:eastAsia="uk-UA"/>
          <w14:ligatures w14:val="none"/>
        </w:rPr>
        <w:t xml:space="preserve"> тлумачення </w:t>
      </w:r>
      <w:r w:rsidR="00954515" w:rsidRPr="00D32F25">
        <w:rPr>
          <w:rFonts w:ascii="Times New Roman" w:eastAsia="Times New Roman" w:hAnsi="Times New Roman" w:cs="Times New Roman"/>
          <w:kern w:val="0"/>
          <w:sz w:val="28"/>
          <w:szCs w:val="28"/>
          <w:lang w:eastAsia="uk-UA"/>
          <w14:ligatures w14:val="none"/>
        </w:rPr>
        <w:t xml:space="preserve">відповідних </w:t>
      </w:r>
      <w:r w:rsidR="008513B9" w:rsidRPr="00D32F25">
        <w:rPr>
          <w:rFonts w:ascii="Times New Roman" w:eastAsia="Times New Roman" w:hAnsi="Times New Roman" w:cs="Times New Roman"/>
          <w:kern w:val="0"/>
          <w:sz w:val="28"/>
          <w:szCs w:val="28"/>
          <w:lang w:eastAsia="uk-UA"/>
          <w14:ligatures w14:val="none"/>
        </w:rPr>
        <w:t xml:space="preserve">норм </w:t>
      </w:r>
      <w:r w:rsidR="0049045C" w:rsidRPr="00D32F25">
        <w:rPr>
          <w:rFonts w:ascii="Times New Roman" w:eastAsia="Times New Roman" w:hAnsi="Times New Roman" w:cs="Times New Roman"/>
          <w:kern w:val="0"/>
          <w:sz w:val="28"/>
          <w:szCs w:val="28"/>
          <w:lang w:eastAsia="uk-UA"/>
          <w14:ligatures w14:val="none"/>
        </w:rPr>
        <w:t>права</w:t>
      </w:r>
      <w:r w:rsidR="008513B9" w:rsidRPr="00D32F25">
        <w:rPr>
          <w:rFonts w:ascii="Times New Roman" w:eastAsia="Times New Roman" w:hAnsi="Times New Roman" w:cs="Times New Roman"/>
          <w:kern w:val="0"/>
          <w:sz w:val="28"/>
          <w:szCs w:val="28"/>
          <w:lang w:eastAsia="uk-UA"/>
          <w14:ligatures w14:val="none"/>
        </w:rPr>
        <w:t>.</w:t>
      </w:r>
    </w:p>
    <w:p w:rsidR="008513B9" w:rsidRPr="00D32F25" w:rsidRDefault="008513B9" w:rsidP="008D3654">
      <w:pPr>
        <w:pStyle w:val="a9"/>
        <w:numPr>
          <w:ilvl w:val="0"/>
          <w:numId w:val="26"/>
        </w:numPr>
        <w:tabs>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 xml:space="preserve">Аналіз практики КСУ та ВС свідчить про сталу тенденцію до використання пояснювальних записок та інших підготовчих матеріалів для обґрунтування тлумачення норм на підставі телеологічного </w:t>
      </w:r>
      <w:r w:rsidR="00D2535C" w:rsidRPr="00D32F25">
        <w:rPr>
          <w:rFonts w:ascii="Times New Roman" w:eastAsia="Times New Roman" w:hAnsi="Times New Roman" w:cs="Times New Roman"/>
          <w:kern w:val="0"/>
          <w:sz w:val="28"/>
          <w:szCs w:val="28"/>
          <w:lang w:eastAsia="uk-UA"/>
          <w14:ligatures w14:val="none"/>
        </w:rPr>
        <w:t xml:space="preserve">(цільового) </w:t>
      </w:r>
      <w:r w:rsidRPr="00D32F25">
        <w:rPr>
          <w:rFonts w:ascii="Times New Roman" w:eastAsia="Times New Roman" w:hAnsi="Times New Roman" w:cs="Times New Roman"/>
          <w:kern w:val="0"/>
          <w:sz w:val="28"/>
          <w:szCs w:val="28"/>
          <w:lang w:eastAsia="uk-UA"/>
          <w14:ligatures w14:val="none"/>
        </w:rPr>
        <w:t xml:space="preserve">підходу, що </w:t>
      </w:r>
      <w:r w:rsidR="00DF0FC5" w:rsidRPr="00D32F25">
        <w:rPr>
          <w:rFonts w:ascii="Times New Roman" w:eastAsia="Times New Roman" w:hAnsi="Times New Roman" w:cs="Times New Roman"/>
          <w:kern w:val="0"/>
          <w:sz w:val="28"/>
          <w:szCs w:val="28"/>
          <w:lang w:eastAsia="uk-UA"/>
          <w14:ligatures w14:val="none"/>
        </w:rPr>
        <w:t>підтверджує</w:t>
      </w:r>
      <w:r w:rsidRPr="00D32F25">
        <w:rPr>
          <w:rFonts w:ascii="Times New Roman" w:eastAsia="Times New Roman" w:hAnsi="Times New Roman" w:cs="Times New Roman"/>
          <w:kern w:val="0"/>
          <w:sz w:val="28"/>
          <w:szCs w:val="28"/>
          <w:lang w:eastAsia="uk-UA"/>
          <w14:ligatures w14:val="none"/>
        </w:rPr>
        <w:t xml:space="preserve"> еволюцію </w:t>
      </w:r>
      <w:r w:rsidR="00DF0FC5" w:rsidRPr="00D32F25">
        <w:rPr>
          <w:rFonts w:ascii="Times New Roman" w:eastAsia="Times New Roman" w:hAnsi="Times New Roman" w:cs="Times New Roman"/>
          <w:kern w:val="0"/>
          <w:sz w:val="28"/>
          <w:szCs w:val="28"/>
          <w:lang w:eastAsia="uk-UA"/>
          <w14:ligatures w14:val="none"/>
        </w:rPr>
        <w:t>тлумачення</w:t>
      </w:r>
      <w:r w:rsidRPr="00D32F25">
        <w:rPr>
          <w:rFonts w:ascii="Times New Roman" w:eastAsia="Times New Roman" w:hAnsi="Times New Roman" w:cs="Times New Roman"/>
          <w:kern w:val="0"/>
          <w:sz w:val="28"/>
          <w:szCs w:val="28"/>
          <w:lang w:eastAsia="uk-UA"/>
          <w14:ligatures w14:val="none"/>
        </w:rPr>
        <w:t xml:space="preserve"> від </w:t>
      </w:r>
      <w:r w:rsidR="008D3654" w:rsidRPr="00D32F25">
        <w:rPr>
          <w:rFonts w:ascii="Times New Roman" w:eastAsia="Times New Roman" w:hAnsi="Times New Roman" w:cs="Times New Roman"/>
          <w:kern w:val="0"/>
          <w:sz w:val="28"/>
          <w:szCs w:val="28"/>
          <w:lang w:eastAsia="uk-UA"/>
          <w14:ligatures w14:val="none"/>
        </w:rPr>
        <w:t>текстового (</w:t>
      </w:r>
      <w:r w:rsidRPr="00D32F25">
        <w:rPr>
          <w:rFonts w:ascii="Times New Roman" w:eastAsia="Times New Roman" w:hAnsi="Times New Roman" w:cs="Times New Roman"/>
          <w:kern w:val="0"/>
          <w:sz w:val="28"/>
          <w:szCs w:val="28"/>
          <w:lang w:eastAsia="uk-UA"/>
          <w14:ligatures w14:val="none"/>
        </w:rPr>
        <w:t>буквального</w:t>
      </w:r>
      <w:r w:rsidR="008D3654" w:rsidRPr="00D32F25">
        <w:rPr>
          <w:rFonts w:ascii="Times New Roman" w:eastAsia="Times New Roman" w:hAnsi="Times New Roman" w:cs="Times New Roman"/>
          <w:kern w:val="0"/>
          <w:sz w:val="28"/>
          <w:szCs w:val="28"/>
          <w:lang w:eastAsia="uk-UA"/>
          <w14:ligatures w14:val="none"/>
        </w:rPr>
        <w:t>)</w:t>
      </w:r>
      <w:r w:rsidRPr="00D32F25">
        <w:rPr>
          <w:rFonts w:ascii="Times New Roman" w:eastAsia="Times New Roman" w:hAnsi="Times New Roman" w:cs="Times New Roman"/>
          <w:kern w:val="0"/>
          <w:sz w:val="28"/>
          <w:szCs w:val="28"/>
          <w:lang w:eastAsia="uk-UA"/>
          <w14:ligatures w14:val="none"/>
        </w:rPr>
        <w:t xml:space="preserve"> до ціннісно-орієнтованого підходу, що надає перевагу з’ясуванню дійсного наміру (волі) законодавця. Звернення до компаративного аналізу, зокрема практики ЄСПЛ підтверджує універсальну важливість використання підготовчих матеріалів для правильного тлумачення, сприяючи гармонізації правозастосування. </w:t>
      </w:r>
    </w:p>
    <w:p w:rsidR="003256BD" w:rsidRDefault="008513B9" w:rsidP="003256BD">
      <w:pPr>
        <w:pStyle w:val="a9"/>
        <w:numPr>
          <w:ilvl w:val="0"/>
          <w:numId w:val="26"/>
        </w:numPr>
        <w:tabs>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 xml:space="preserve">З’ясування волі законодавця під час тлумачення закону виступає ефективним механізмом для </w:t>
      </w:r>
      <w:r w:rsidR="00873162" w:rsidRPr="00D32F25">
        <w:rPr>
          <w:rFonts w:ascii="Times New Roman" w:eastAsia="Times New Roman" w:hAnsi="Times New Roman" w:cs="Times New Roman"/>
          <w:kern w:val="0"/>
          <w:sz w:val="28"/>
          <w:szCs w:val="28"/>
          <w:lang w:eastAsia="uk-UA"/>
          <w14:ligatures w14:val="none"/>
        </w:rPr>
        <w:t>подолання</w:t>
      </w:r>
      <w:r w:rsidRPr="00D32F25">
        <w:rPr>
          <w:rFonts w:ascii="Times New Roman" w:eastAsia="Times New Roman" w:hAnsi="Times New Roman" w:cs="Times New Roman"/>
          <w:kern w:val="0"/>
          <w:sz w:val="28"/>
          <w:szCs w:val="28"/>
          <w:lang w:eastAsia="uk-UA"/>
          <w14:ligatures w14:val="none"/>
        </w:rPr>
        <w:t xml:space="preserve"> прогалин і </w:t>
      </w:r>
      <w:r w:rsidR="0049045C" w:rsidRPr="00D32F25">
        <w:rPr>
          <w:rFonts w:ascii="Times New Roman" w:eastAsia="Times New Roman" w:hAnsi="Times New Roman" w:cs="Times New Roman"/>
          <w:kern w:val="0"/>
          <w:sz w:val="28"/>
          <w:szCs w:val="28"/>
          <w:lang w:eastAsia="uk-UA"/>
          <w14:ligatures w14:val="none"/>
        </w:rPr>
        <w:t>вирішення колізій</w:t>
      </w:r>
      <w:r w:rsidRPr="00D32F25">
        <w:rPr>
          <w:rFonts w:ascii="Times New Roman" w:eastAsia="Times New Roman" w:hAnsi="Times New Roman" w:cs="Times New Roman"/>
          <w:kern w:val="0"/>
          <w:sz w:val="28"/>
          <w:szCs w:val="28"/>
          <w:lang w:eastAsia="uk-UA"/>
          <w14:ligatures w14:val="none"/>
        </w:rPr>
        <w:t xml:space="preserve"> у законодавстві, що є особливо важливим в умовах недосконалості законодавчої </w:t>
      </w:r>
      <w:r w:rsidRPr="00D32F25">
        <w:rPr>
          <w:rFonts w:ascii="Times New Roman" w:eastAsia="Times New Roman" w:hAnsi="Times New Roman" w:cs="Times New Roman"/>
          <w:kern w:val="0"/>
          <w:sz w:val="28"/>
          <w:szCs w:val="28"/>
          <w:lang w:eastAsia="uk-UA"/>
          <w14:ligatures w14:val="none"/>
        </w:rPr>
        <w:lastRenderedPageBreak/>
        <w:t>техніки, наявності внутрішньо суперечливих або нечітких формулювань</w:t>
      </w:r>
      <w:r w:rsidR="00954515" w:rsidRPr="00D32F25">
        <w:rPr>
          <w:rFonts w:ascii="Times New Roman" w:eastAsia="Times New Roman" w:hAnsi="Times New Roman" w:cs="Times New Roman"/>
          <w:kern w:val="0"/>
          <w:sz w:val="28"/>
          <w:szCs w:val="28"/>
          <w:lang w:eastAsia="uk-UA"/>
          <w14:ligatures w14:val="none"/>
        </w:rPr>
        <w:t xml:space="preserve"> у конкретній нормі права</w:t>
      </w:r>
      <w:r w:rsidRPr="00D32F25">
        <w:rPr>
          <w:rFonts w:ascii="Times New Roman" w:eastAsia="Times New Roman" w:hAnsi="Times New Roman" w:cs="Times New Roman"/>
          <w:kern w:val="0"/>
          <w:sz w:val="28"/>
          <w:szCs w:val="28"/>
          <w:lang w:eastAsia="uk-UA"/>
          <w14:ligatures w14:val="none"/>
        </w:rPr>
        <w:t xml:space="preserve">. Такий підхід забезпечує відповідність правозастосовної практики дійсним цілям </w:t>
      </w:r>
      <w:r w:rsidR="00954515" w:rsidRPr="00D32F25">
        <w:rPr>
          <w:rFonts w:ascii="Times New Roman" w:eastAsia="Times New Roman" w:hAnsi="Times New Roman" w:cs="Times New Roman"/>
          <w:kern w:val="0"/>
          <w:sz w:val="28"/>
          <w:szCs w:val="28"/>
          <w:lang w:eastAsia="uk-UA"/>
          <w14:ligatures w14:val="none"/>
        </w:rPr>
        <w:t xml:space="preserve">акта </w:t>
      </w:r>
      <w:r w:rsidRPr="00D32F25">
        <w:rPr>
          <w:rFonts w:ascii="Times New Roman" w:eastAsia="Times New Roman" w:hAnsi="Times New Roman" w:cs="Times New Roman"/>
          <w:kern w:val="0"/>
          <w:sz w:val="28"/>
          <w:szCs w:val="28"/>
          <w:lang w:eastAsia="uk-UA"/>
          <w14:ligatures w14:val="none"/>
        </w:rPr>
        <w:t>закон</w:t>
      </w:r>
      <w:r w:rsidR="00954515" w:rsidRPr="00D32F25">
        <w:rPr>
          <w:rFonts w:ascii="Times New Roman" w:eastAsia="Times New Roman" w:hAnsi="Times New Roman" w:cs="Times New Roman"/>
          <w:kern w:val="0"/>
          <w:sz w:val="28"/>
          <w:szCs w:val="28"/>
          <w:lang w:eastAsia="uk-UA"/>
          <w14:ligatures w14:val="none"/>
        </w:rPr>
        <w:t>одавства</w:t>
      </w:r>
      <w:r w:rsidRPr="00D32F25">
        <w:rPr>
          <w:rFonts w:ascii="Times New Roman" w:eastAsia="Times New Roman" w:hAnsi="Times New Roman" w:cs="Times New Roman"/>
          <w:kern w:val="0"/>
          <w:sz w:val="28"/>
          <w:szCs w:val="28"/>
          <w:lang w:eastAsia="uk-UA"/>
          <w14:ligatures w14:val="none"/>
        </w:rPr>
        <w:t xml:space="preserve"> та фундаментальним принципам верховенства права, мінімізуючи ризики неоднозначного застосування норм </w:t>
      </w:r>
      <w:r w:rsidR="00873162" w:rsidRPr="00D32F25">
        <w:rPr>
          <w:rFonts w:ascii="Times New Roman" w:eastAsia="Times New Roman" w:hAnsi="Times New Roman" w:cs="Times New Roman"/>
          <w:kern w:val="0"/>
          <w:sz w:val="28"/>
          <w:szCs w:val="28"/>
          <w:lang w:eastAsia="uk-UA"/>
          <w14:ligatures w14:val="none"/>
        </w:rPr>
        <w:t xml:space="preserve">права </w:t>
      </w:r>
      <w:r w:rsidRPr="00D32F25">
        <w:rPr>
          <w:rFonts w:ascii="Times New Roman" w:eastAsia="Times New Roman" w:hAnsi="Times New Roman" w:cs="Times New Roman"/>
          <w:kern w:val="0"/>
          <w:sz w:val="28"/>
          <w:szCs w:val="28"/>
          <w:lang w:eastAsia="uk-UA"/>
          <w14:ligatures w14:val="none"/>
        </w:rPr>
        <w:t>та сприяючи реалізації легітимних очікувань учасників правовідносин.</w:t>
      </w:r>
    </w:p>
    <w:p w:rsidR="008513B9" w:rsidRPr="003256BD" w:rsidRDefault="00954515" w:rsidP="003256BD">
      <w:pPr>
        <w:pStyle w:val="a9"/>
        <w:numPr>
          <w:ilvl w:val="0"/>
          <w:numId w:val="26"/>
        </w:numPr>
        <w:tabs>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3256BD">
        <w:rPr>
          <w:rFonts w:ascii="Times New Roman" w:eastAsia="Times New Roman" w:hAnsi="Times New Roman" w:cs="Times New Roman"/>
          <w:kern w:val="0"/>
          <w:sz w:val="28"/>
          <w:szCs w:val="28"/>
          <w:lang w:eastAsia="uk-UA"/>
          <w14:ligatures w14:val="none"/>
        </w:rPr>
        <w:t>В</w:t>
      </w:r>
      <w:r w:rsidR="00F31196" w:rsidRPr="003256BD">
        <w:rPr>
          <w:rFonts w:ascii="Times New Roman" w:eastAsia="Times New Roman" w:hAnsi="Times New Roman" w:cs="Times New Roman"/>
          <w:kern w:val="0"/>
          <w:sz w:val="28"/>
          <w:szCs w:val="28"/>
          <w:lang w:eastAsia="uk-UA"/>
          <w14:ligatures w14:val="none"/>
        </w:rPr>
        <w:t xml:space="preserve">икористання підготовчих матеріалів для з’ясування духу закону вимагає критичного підходу та дотримання чітких методологічних меж, оскільки у процесі такого тлумачення не повинно відбуватися заміни судом відповідного суб’єкта нормотворення. Вихід за межі </w:t>
      </w:r>
      <w:r w:rsidRPr="003256BD">
        <w:rPr>
          <w:rFonts w:ascii="Times New Roman" w:eastAsia="Times New Roman" w:hAnsi="Times New Roman" w:cs="Times New Roman"/>
          <w:kern w:val="0"/>
          <w:sz w:val="28"/>
          <w:szCs w:val="28"/>
          <w:lang w:eastAsia="uk-UA"/>
          <w14:ligatures w14:val="none"/>
        </w:rPr>
        <w:t>реального</w:t>
      </w:r>
      <w:r w:rsidR="00F31196" w:rsidRPr="003256BD">
        <w:rPr>
          <w:rFonts w:ascii="Times New Roman" w:eastAsia="Times New Roman" w:hAnsi="Times New Roman" w:cs="Times New Roman"/>
          <w:kern w:val="0"/>
          <w:sz w:val="28"/>
          <w:szCs w:val="28"/>
          <w:lang w:eastAsia="uk-UA"/>
          <w14:ligatures w14:val="none"/>
        </w:rPr>
        <w:t xml:space="preserve"> тексту норми (contra legem) загрожує дотриманню принципів правової визначеності</w:t>
      </w:r>
      <w:r w:rsidR="00D32F25" w:rsidRPr="003256BD">
        <w:rPr>
          <w:rFonts w:ascii="Times New Roman" w:eastAsia="Times New Roman" w:hAnsi="Times New Roman" w:cs="Times New Roman"/>
          <w:kern w:val="0"/>
          <w:sz w:val="28"/>
          <w:szCs w:val="28"/>
          <w:lang w:eastAsia="uk-UA"/>
          <w14:ligatures w14:val="none"/>
        </w:rPr>
        <w:t xml:space="preserve"> (</w:t>
      </w:r>
      <w:r w:rsidR="00F31196" w:rsidRPr="003256BD">
        <w:rPr>
          <w:rFonts w:ascii="Times New Roman" w:eastAsia="Times New Roman" w:hAnsi="Times New Roman" w:cs="Times New Roman"/>
          <w:kern w:val="0"/>
          <w:sz w:val="28"/>
          <w:szCs w:val="28"/>
          <w:lang w:eastAsia="uk-UA"/>
          <w14:ligatures w14:val="none"/>
        </w:rPr>
        <w:t xml:space="preserve">передбачуваності та стабільності </w:t>
      </w:r>
      <w:r w:rsidR="00B67B55" w:rsidRPr="003256BD">
        <w:rPr>
          <w:rFonts w:ascii="Times New Roman" w:eastAsia="Times New Roman" w:hAnsi="Times New Roman" w:cs="Times New Roman"/>
          <w:kern w:val="0"/>
          <w:sz w:val="28"/>
          <w:szCs w:val="28"/>
          <w:lang w:eastAsia="uk-UA"/>
          <w14:ligatures w14:val="none"/>
        </w:rPr>
        <w:t>нормативного</w:t>
      </w:r>
      <w:r w:rsidR="00F31196" w:rsidRPr="003256BD">
        <w:rPr>
          <w:rFonts w:ascii="Times New Roman" w:eastAsia="Times New Roman" w:hAnsi="Times New Roman" w:cs="Times New Roman"/>
          <w:kern w:val="0"/>
          <w:sz w:val="28"/>
          <w:szCs w:val="28"/>
          <w:lang w:eastAsia="uk-UA"/>
          <w14:ligatures w14:val="none"/>
        </w:rPr>
        <w:t xml:space="preserve"> регулювання</w:t>
      </w:r>
      <w:r w:rsidR="00D32F25" w:rsidRPr="003256BD">
        <w:rPr>
          <w:rFonts w:ascii="Times New Roman" w:eastAsia="Times New Roman" w:hAnsi="Times New Roman" w:cs="Times New Roman"/>
          <w:kern w:val="0"/>
          <w:sz w:val="28"/>
          <w:szCs w:val="28"/>
          <w:lang w:eastAsia="uk-UA"/>
          <w14:ligatures w14:val="none"/>
        </w:rPr>
        <w:t>)</w:t>
      </w:r>
      <w:r w:rsidR="00F31196" w:rsidRPr="003256BD">
        <w:rPr>
          <w:rFonts w:ascii="Times New Roman" w:eastAsia="Times New Roman" w:hAnsi="Times New Roman" w:cs="Times New Roman"/>
          <w:kern w:val="0"/>
          <w:sz w:val="28"/>
          <w:szCs w:val="28"/>
          <w:lang w:eastAsia="uk-UA"/>
          <w14:ligatures w14:val="none"/>
        </w:rPr>
        <w:t xml:space="preserve">. </w:t>
      </w:r>
      <w:r w:rsidR="003256BD" w:rsidRPr="003256BD">
        <w:rPr>
          <w:rFonts w:ascii="Times New Roman" w:eastAsia="Times New Roman" w:hAnsi="Times New Roman" w:cs="Times New Roman"/>
          <w:kern w:val="0"/>
          <w:sz w:val="28"/>
          <w:szCs w:val="28"/>
          <w:lang w:eastAsia="uk-UA"/>
          <w14:ligatures w14:val="none"/>
        </w:rPr>
        <w:t xml:space="preserve">При цьому телеологічне тлумачення через звернення до підготовчих матеріалів має розглядатись як засіб компенсації дефектів якості закону (нечіткості чи багатозначності тексту), що дозволяє суду забезпечити передбачуваність там, де буквальний текст створює правову невизначеність. </w:t>
      </w:r>
      <w:r w:rsidR="00F31196" w:rsidRPr="003256BD">
        <w:rPr>
          <w:rFonts w:ascii="Times New Roman" w:eastAsia="Times New Roman" w:hAnsi="Times New Roman" w:cs="Times New Roman"/>
          <w:kern w:val="0"/>
          <w:sz w:val="28"/>
          <w:szCs w:val="28"/>
          <w:lang w:eastAsia="uk-UA"/>
          <w14:ligatures w14:val="none"/>
        </w:rPr>
        <w:t>Необхідно враховувати, що підготовчі матеріали не завжди відображають консенсусну волю законодавчого органу та можуть містити позиції лише окремих розробників, у зв’язку з чим вони не можуть автоматично ототожнюватися з легітимною метою закону. З огляду на це, дух закону має виводитися не з декларативних або політично зумовлених намірів, а з об’єктивної юридичної мети регулювання, узгодженої з принципами верховенства права.</w:t>
      </w:r>
    </w:p>
    <w:p w:rsidR="003256BD" w:rsidRDefault="008513B9" w:rsidP="003256BD">
      <w:pPr>
        <w:pStyle w:val="a9"/>
        <w:numPr>
          <w:ilvl w:val="0"/>
          <w:numId w:val="26"/>
        </w:numPr>
        <w:tabs>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 xml:space="preserve">В умовах суттєвих суспільних змін, коли дух закону може зазнавати динамічних змін під впливом різноманітних факторів, тлумачення через волю законодавця вимагає особливої відповідальності з боку суб’єктів правозастосування. У таких випадках пріоритетним стає дотримання принципів добросовісності та розумності, </w:t>
      </w:r>
      <w:r w:rsidR="008D3654" w:rsidRPr="00D32F25">
        <w:rPr>
          <w:rFonts w:ascii="Times New Roman" w:eastAsia="Times New Roman" w:hAnsi="Times New Roman" w:cs="Times New Roman"/>
          <w:kern w:val="0"/>
          <w:sz w:val="28"/>
          <w:szCs w:val="28"/>
          <w:lang w:eastAsia="uk-UA"/>
          <w14:ligatures w14:val="none"/>
        </w:rPr>
        <w:t xml:space="preserve">а також </w:t>
      </w:r>
      <w:r w:rsidRPr="00D32F25">
        <w:rPr>
          <w:rFonts w:ascii="Times New Roman" w:eastAsia="Times New Roman" w:hAnsi="Times New Roman" w:cs="Times New Roman"/>
          <w:kern w:val="0"/>
          <w:sz w:val="28"/>
          <w:szCs w:val="28"/>
          <w:lang w:eastAsia="uk-UA"/>
          <w14:ligatures w14:val="none"/>
        </w:rPr>
        <w:t xml:space="preserve">уникнення </w:t>
      </w:r>
      <w:r w:rsidR="008D3654" w:rsidRPr="00D32F25">
        <w:rPr>
          <w:rFonts w:ascii="Times New Roman" w:eastAsia="Times New Roman" w:hAnsi="Times New Roman" w:cs="Times New Roman"/>
          <w:kern w:val="0"/>
          <w:sz w:val="28"/>
          <w:szCs w:val="28"/>
          <w:lang w:eastAsia="uk-UA"/>
          <w14:ligatures w14:val="none"/>
        </w:rPr>
        <w:t xml:space="preserve">надмірного </w:t>
      </w:r>
      <w:r w:rsidRPr="00D32F25">
        <w:rPr>
          <w:rFonts w:ascii="Times New Roman" w:eastAsia="Times New Roman" w:hAnsi="Times New Roman" w:cs="Times New Roman"/>
          <w:kern w:val="0"/>
          <w:sz w:val="28"/>
          <w:szCs w:val="28"/>
          <w:lang w:eastAsia="uk-UA"/>
          <w14:ligatures w14:val="none"/>
        </w:rPr>
        <w:t xml:space="preserve">формалізму, що може завдати шкоди </w:t>
      </w:r>
      <w:r w:rsidR="008D3654" w:rsidRPr="00D32F25">
        <w:rPr>
          <w:rFonts w:ascii="Times New Roman" w:eastAsia="Times New Roman" w:hAnsi="Times New Roman" w:cs="Times New Roman"/>
          <w:kern w:val="0"/>
          <w:sz w:val="28"/>
          <w:szCs w:val="28"/>
          <w:lang w:eastAsia="uk-UA"/>
          <w14:ligatures w14:val="none"/>
        </w:rPr>
        <w:t xml:space="preserve">національній безпеці, </w:t>
      </w:r>
      <w:r w:rsidRPr="00D32F25">
        <w:rPr>
          <w:rFonts w:ascii="Times New Roman" w:eastAsia="Times New Roman" w:hAnsi="Times New Roman" w:cs="Times New Roman"/>
          <w:kern w:val="0"/>
          <w:sz w:val="28"/>
          <w:szCs w:val="28"/>
          <w:lang w:eastAsia="uk-UA"/>
          <w14:ligatures w14:val="none"/>
        </w:rPr>
        <w:t>суспільним інтересам</w:t>
      </w:r>
      <w:r w:rsidR="008D3654" w:rsidRPr="00D32F25">
        <w:rPr>
          <w:rFonts w:ascii="Times New Roman" w:eastAsia="Times New Roman" w:hAnsi="Times New Roman" w:cs="Times New Roman"/>
          <w:kern w:val="0"/>
          <w:sz w:val="28"/>
          <w:szCs w:val="28"/>
          <w:lang w:eastAsia="uk-UA"/>
          <w14:ligatures w14:val="none"/>
        </w:rPr>
        <w:t xml:space="preserve"> і</w:t>
      </w:r>
      <w:r w:rsidRPr="00D32F25">
        <w:rPr>
          <w:rFonts w:ascii="Times New Roman" w:eastAsia="Times New Roman" w:hAnsi="Times New Roman" w:cs="Times New Roman"/>
          <w:kern w:val="0"/>
          <w:sz w:val="28"/>
          <w:szCs w:val="28"/>
          <w:lang w:eastAsia="uk-UA"/>
          <w14:ligatures w14:val="none"/>
        </w:rPr>
        <w:t xml:space="preserve"> правам людини. Суди </w:t>
      </w:r>
      <w:r w:rsidR="008D3654" w:rsidRPr="00D32F25">
        <w:rPr>
          <w:rFonts w:ascii="Times New Roman" w:eastAsia="Times New Roman" w:hAnsi="Times New Roman" w:cs="Times New Roman"/>
          <w:kern w:val="0"/>
          <w:sz w:val="28"/>
          <w:szCs w:val="28"/>
          <w:lang w:eastAsia="uk-UA"/>
          <w14:ligatures w14:val="none"/>
        </w:rPr>
        <w:t xml:space="preserve">та органи правозастосування </w:t>
      </w:r>
      <w:r w:rsidRPr="00D32F25">
        <w:rPr>
          <w:rFonts w:ascii="Times New Roman" w:eastAsia="Times New Roman" w:hAnsi="Times New Roman" w:cs="Times New Roman"/>
          <w:kern w:val="0"/>
          <w:sz w:val="28"/>
          <w:szCs w:val="28"/>
          <w:lang w:eastAsia="uk-UA"/>
          <w14:ligatures w14:val="none"/>
        </w:rPr>
        <w:t>повинні забезпечувати баланс між суворим дотриманням букви закону та розумінням його дійсної, актуальної мети в конкретних історичних умовах, щоб уникнути деформації сутності права та його відриву від суспільних потреб.</w:t>
      </w:r>
    </w:p>
    <w:p w:rsidR="008513B9" w:rsidRPr="003256BD" w:rsidRDefault="000F44E0" w:rsidP="003256BD">
      <w:pPr>
        <w:pStyle w:val="a9"/>
        <w:numPr>
          <w:ilvl w:val="0"/>
          <w:numId w:val="26"/>
        </w:numPr>
        <w:tabs>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3256BD">
        <w:rPr>
          <w:rFonts w:ascii="Times New Roman" w:eastAsia="Times New Roman" w:hAnsi="Times New Roman" w:cs="Times New Roman"/>
          <w:kern w:val="0"/>
          <w:sz w:val="28"/>
          <w:szCs w:val="28"/>
          <w:lang w:eastAsia="uk-UA"/>
          <w14:ligatures w14:val="none"/>
        </w:rPr>
        <w:lastRenderedPageBreak/>
        <w:t>Т</w:t>
      </w:r>
      <w:r w:rsidR="008513B9" w:rsidRPr="003256BD">
        <w:rPr>
          <w:rFonts w:ascii="Times New Roman" w:eastAsia="Times New Roman" w:hAnsi="Times New Roman" w:cs="Times New Roman"/>
          <w:kern w:val="0"/>
          <w:sz w:val="28"/>
          <w:szCs w:val="28"/>
          <w:lang w:eastAsia="uk-UA"/>
          <w14:ligatures w14:val="none"/>
        </w:rPr>
        <w:t xml:space="preserve">лумачення закону крізь призму волі </w:t>
      </w:r>
      <w:r w:rsidR="00597328" w:rsidRPr="003256BD">
        <w:rPr>
          <w:rFonts w:ascii="Times New Roman" w:eastAsia="Times New Roman" w:hAnsi="Times New Roman" w:cs="Times New Roman"/>
          <w:kern w:val="0"/>
          <w:sz w:val="28"/>
          <w:szCs w:val="28"/>
          <w:lang w:eastAsia="uk-UA"/>
          <w14:ligatures w14:val="none"/>
        </w:rPr>
        <w:t>відповідного суб’єкта нормотворення</w:t>
      </w:r>
      <w:r w:rsidR="008513B9" w:rsidRPr="003256BD">
        <w:rPr>
          <w:rFonts w:ascii="Times New Roman" w:eastAsia="Times New Roman" w:hAnsi="Times New Roman" w:cs="Times New Roman"/>
          <w:kern w:val="0"/>
          <w:sz w:val="28"/>
          <w:szCs w:val="28"/>
          <w:lang w:eastAsia="uk-UA"/>
          <w14:ligatures w14:val="none"/>
        </w:rPr>
        <w:t>, поєднане з текстуальним аналізом, системним та іншими способами тлумачення, а також засноване на загальних принципах права, має слугувати утвердженню верховенства права та покликане забезпечувати справедливість, обґрунтованість, передбачуваність судових рішень та реалізацію легітимних очікувань учасників правовідносин, перетворюючи дух закону на дієвий інструмент правосуддя</w:t>
      </w:r>
      <w:r w:rsidR="003256BD" w:rsidRPr="003256BD">
        <w:rPr>
          <w:rFonts w:ascii="Times New Roman" w:eastAsia="Times New Roman" w:hAnsi="Times New Roman" w:cs="Times New Roman"/>
          <w:kern w:val="0"/>
          <w:sz w:val="28"/>
          <w:szCs w:val="28"/>
          <w:lang w:eastAsia="uk-UA"/>
          <w14:ligatures w14:val="none"/>
        </w:rPr>
        <w:t xml:space="preserve">, що не підміняє, а доповнює букву закону, забезпечуючи цілісність та ціннісну спроможність правової системи. При </w:t>
      </w:r>
      <w:r w:rsidR="003256BD">
        <w:rPr>
          <w:rFonts w:ascii="Times New Roman" w:eastAsia="Times New Roman" w:hAnsi="Times New Roman" w:cs="Times New Roman"/>
          <w:kern w:val="0"/>
          <w:sz w:val="28"/>
          <w:szCs w:val="28"/>
          <w:lang w:eastAsia="uk-UA"/>
          <w14:ligatures w14:val="none"/>
        </w:rPr>
        <w:t xml:space="preserve">цьому телеологічне тлумачення буде ефективним </w:t>
      </w:r>
      <w:r w:rsidR="003256BD" w:rsidRPr="003256BD">
        <w:rPr>
          <w:rFonts w:ascii="Times New Roman" w:eastAsia="Times New Roman" w:hAnsi="Times New Roman" w:cs="Times New Roman"/>
          <w:kern w:val="0"/>
          <w:sz w:val="28"/>
          <w:szCs w:val="28"/>
          <w:lang w:eastAsia="uk-UA"/>
          <w14:ligatures w14:val="none"/>
        </w:rPr>
        <w:t xml:space="preserve">лише за умови, що воно залишається передбачуваним для </w:t>
      </w:r>
      <w:r w:rsidR="00D461C2">
        <w:rPr>
          <w:rFonts w:ascii="Times New Roman" w:eastAsia="Times New Roman" w:hAnsi="Times New Roman" w:cs="Times New Roman"/>
          <w:kern w:val="0"/>
          <w:sz w:val="28"/>
          <w:szCs w:val="28"/>
          <w:lang w:eastAsia="uk-UA"/>
          <w14:ligatures w14:val="none"/>
        </w:rPr>
        <w:t>суб’єкта відповідних правовідносин</w:t>
      </w:r>
      <w:r w:rsidR="003256BD" w:rsidRPr="003256BD">
        <w:rPr>
          <w:rFonts w:ascii="Times New Roman" w:eastAsia="Times New Roman" w:hAnsi="Times New Roman" w:cs="Times New Roman"/>
          <w:kern w:val="0"/>
          <w:sz w:val="28"/>
          <w:szCs w:val="28"/>
          <w:lang w:eastAsia="uk-UA"/>
          <w14:ligatures w14:val="none"/>
        </w:rPr>
        <w:t xml:space="preserve"> та не створює нових обов’язків або обмежень, які не можуть бути виведені з тексту </w:t>
      </w:r>
      <w:r w:rsidR="00D461C2">
        <w:rPr>
          <w:rFonts w:ascii="Times New Roman" w:eastAsia="Times New Roman" w:hAnsi="Times New Roman" w:cs="Times New Roman"/>
          <w:kern w:val="0"/>
          <w:sz w:val="28"/>
          <w:szCs w:val="28"/>
          <w:lang w:eastAsia="uk-UA"/>
          <w14:ligatures w14:val="none"/>
        </w:rPr>
        <w:t xml:space="preserve">акта </w:t>
      </w:r>
      <w:r w:rsidR="003256BD" w:rsidRPr="003256BD">
        <w:rPr>
          <w:rFonts w:ascii="Times New Roman" w:eastAsia="Times New Roman" w:hAnsi="Times New Roman" w:cs="Times New Roman"/>
          <w:kern w:val="0"/>
          <w:sz w:val="28"/>
          <w:szCs w:val="28"/>
          <w:lang w:eastAsia="uk-UA"/>
          <w14:ligatures w14:val="none"/>
        </w:rPr>
        <w:t>закон</w:t>
      </w:r>
      <w:r w:rsidR="00D461C2">
        <w:rPr>
          <w:rFonts w:ascii="Times New Roman" w:eastAsia="Times New Roman" w:hAnsi="Times New Roman" w:cs="Times New Roman"/>
          <w:kern w:val="0"/>
          <w:sz w:val="28"/>
          <w:szCs w:val="28"/>
          <w:lang w:eastAsia="uk-UA"/>
          <w14:ligatures w14:val="none"/>
        </w:rPr>
        <w:t>одавства</w:t>
      </w:r>
      <w:r w:rsidR="003256BD" w:rsidRPr="003256BD">
        <w:rPr>
          <w:rFonts w:ascii="Times New Roman" w:eastAsia="Times New Roman" w:hAnsi="Times New Roman" w:cs="Times New Roman"/>
          <w:kern w:val="0"/>
          <w:sz w:val="28"/>
          <w:szCs w:val="28"/>
          <w:lang w:eastAsia="uk-UA"/>
          <w14:ligatures w14:val="none"/>
        </w:rPr>
        <w:t xml:space="preserve"> навіть з урахуванням його мети.</w:t>
      </w:r>
    </w:p>
    <w:p w:rsidR="008513B9" w:rsidRPr="00D32F25" w:rsidRDefault="008513B9" w:rsidP="008513B9">
      <w:pPr>
        <w:pStyle w:val="a9"/>
        <w:tabs>
          <w:tab w:val="left" w:pos="1134"/>
        </w:tabs>
        <w:spacing w:after="0" w:line="360" w:lineRule="auto"/>
        <w:ind w:left="567" w:firstLine="567"/>
        <w:jc w:val="both"/>
        <w:rPr>
          <w:rFonts w:ascii="Times New Roman" w:eastAsia="Times New Roman" w:hAnsi="Times New Roman" w:cs="Times New Roman"/>
          <w:kern w:val="0"/>
          <w:sz w:val="28"/>
          <w:szCs w:val="28"/>
          <w:lang w:eastAsia="uk-UA"/>
          <w14:ligatures w14:val="none"/>
        </w:rPr>
      </w:pPr>
    </w:p>
    <w:p w:rsidR="008513B9" w:rsidRPr="00D32F25" w:rsidRDefault="008513B9" w:rsidP="008513B9">
      <w:pPr>
        <w:tabs>
          <w:tab w:val="left" w:pos="1134"/>
        </w:tabs>
        <w:spacing w:after="0" w:line="360" w:lineRule="auto"/>
        <w:ind w:firstLine="567"/>
        <w:jc w:val="center"/>
        <w:rPr>
          <w:rFonts w:ascii="Times New Roman" w:eastAsia="Times New Roman" w:hAnsi="Times New Roman" w:cs="Times New Roman"/>
          <w:b/>
          <w:bCs/>
          <w:kern w:val="0"/>
          <w:sz w:val="28"/>
          <w:szCs w:val="28"/>
          <w:lang w:eastAsia="uk-UA"/>
          <w14:ligatures w14:val="none"/>
        </w:rPr>
      </w:pPr>
      <w:r w:rsidRPr="00D32F25">
        <w:rPr>
          <w:rFonts w:ascii="Times New Roman" w:eastAsia="Times New Roman" w:hAnsi="Times New Roman" w:cs="Times New Roman"/>
          <w:b/>
          <w:bCs/>
          <w:kern w:val="0"/>
          <w:sz w:val="28"/>
          <w:szCs w:val="28"/>
          <w:lang w:eastAsia="uk-UA"/>
          <w14:ligatures w14:val="none"/>
        </w:rPr>
        <w:t>Перелік використаних джерел</w:t>
      </w:r>
    </w:p>
    <w:p w:rsidR="008513B9" w:rsidRPr="00D32F25" w:rsidRDefault="008513B9" w:rsidP="00BC1880">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bookmarkStart w:id="31" w:name="_Hlk211527920"/>
      <w:r w:rsidRPr="00D32F25">
        <w:rPr>
          <w:rFonts w:ascii="Times New Roman" w:eastAsia="Times New Roman" w:hAnsi="Times New Roman" w:cs="Times New Roman"/>
          <w:kern w:val="0"/>
          <w:sz w:val="28"/>
          <w:szCs w:val="28"/>
          <w:lang w:eastAsia="uk-UA"/>
          <w14:ligatures w14:val="none"/>
        </w:rPr>
        <w:t>Берназюк Я</w:t>
      </w:r>
      <w:r w:rsidR="00D32F25" w:rsidRPr="00D32F25">
        <w:rPr>
          <w:rFonts w:ascii="Times New Roman" w:eastAsia="Times New Roman" w:hAnsi="Times New Roman" w:cs="Times New Roman"/>
          <w:kern w:val="0"/>
          <w:sz w:val="28"/>
          <w:szCs w:val="28"/>
          <w:lang w:eastAsia="uk-UA"/>
          <w14:ligatures w14:val="none"/>
        </w:rPr>
        <w:t>н</w:t>
      </w:r>
      <w:r w:rsidRPr="00D32F25">
        <w:rPr>
          <w:rFonts w:ascii="Times New Roman" w:eastAsia="Times New Roman" w:hAnsi="Times New Roman" w:cs="Times New Roman"/>
          <w:kern w:val="0"/>
          <w:sz w:val="28"/>
          <w:szCs w:val="28"/>
          <w:lang w:eastAsia="uk-UA"/>
          <w14:ligatures w14:val="none"/>
        </w:rPr>
        <w:t xml:space="preserve">. Особливості застосування критерію «якості закону» під час вирішення публічно-правових спорів. </w:t>
      </w:r>
      <w:r w:rsidRPr="00D32F25">
        <w:rPr>
          <w:rFonts w:ascii="Times New Roman" w:eastAsia="Times New Roman" w:hAnsi="Times New Roman" w:cs="Times New Roman"/>
          <w:iCs/>
          <w:kern w:val="0"/>
          <w:sz w:val="28"/>
          <w:szCs w:val="28"/>
          <w:lang w:eastAsia="uk-UA"/>
          <w14:ligatures w14:val="none"/>
        </w:rPr>
        <w:t>Право і суспільство</w:t>
      </w:r>
      <w:r w:rsidRPr="00D32F25">
        <w:rPr>
          <w:rFonts w:ascii="Times New Roman" w:eastAsia="Times New Roman" w:hAnsi="Times New Roman" w:cs="Times New Roman"/>
          <w:kern w:val="0"/>
          <w:sz w:val="28"/>
          <w:szCs w:val="28"/>
          <w:lang w:eastAsia="uk-UA"/>
          <w14:ligatures w14:val="none"/>
        </w:rPr>
        <w:t>. 2020. № 5. С. 6-14</w:t>
      </w:r>
      <w:r w:rsidR="00BC1880" w:rsidRPr="00D32F25">
        <w:rPr>
          <w:rFonts w:ascii="Times New Roman" w:eastAsia="Times New Roman" w:hAnsi="Times New Roman" w:cs="Times New Roman"/>
          <w:kern w:val="0"/>
          <w:sz w:val="28"/>
          <w:szCs w:val="28"/>
          <w:lang w:eastAsia="uk-UA"/>
          <w14:ligatures w14:val="none"/>
        </w:rPr>
        <w:t xml:space="preserve">. URL:  </w:t>
      </w:r>
      <w:hyperlink r:id="rId7" w:history="1">
        <w:r w:rsidR="00BC1880" w:rsidRPr="00D32F25">
          <w:rPr>
            <w:rStyle w:val="a3"/>
            <w:rFonts w:ascii="Times New Roman" w:eastAsia="Times New Roman" w:hAnsi="Times New Roman" w:cs="Times New Roman"/>
            <w:kern w:val="0"/>
            <w:sz w:val="28"/>
            <w:szCs w:val="28"/>
            <w:lang w:eastAsia="uk-UA"/>
            <w14:ligatures w14:val="none"/>
          </w:rPr>
          <w:t>https://constitutionalist.com.ua/osoblyvosti-zastosuvannia-kryteriiu-iakosti-zakonu-pid-chas-vyrishennia-publichno-pravovykh-sporiv/</w:t>
        </w:r>
      </w:hyperlink>
      <w:r w:rsidR="00BC1880" w:rsidRPr="00D32F25">
        <w:rPr>
          <w:rFonts w:ascii="Times New Roman" w:eastAsia="Times New Roman" w:hAnsi="Times New Roman" w:cs="Times New Roman"/>
          <w:kern w:val="0"/>
          <w:sz w:val="28"/>
          <w:szCs w:val="28"/>
          <w:lang w:eastAsia="uk-UA"/>
          <w14:ligatures w14:val="none"/>
        </w:rPr>
        <w:t xml:space="preserve"> </w:t>
      </w:r>
    </w:p>
    <w:p w:rsidR="00BC1880" w:rsidRPr="00D32F25" w:rsidRDefault="008513B9" w:rsidP="00BC1880">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Берназюк Я</w:t>
      </w:r>
      <w:r w:rsidR="00D32F25" w:rsidRPr="00D32F25">
        <w:rPr>
          <w:rFonts w:ascii="Times New Roman" w:eastAsia="Times New Roman" w:hAnsi="Times New Roman" w:cs="Times New Roman"/>
          <w:kern w:val="0"/>
          <w:sz w:val="28"/>
          <w:szCs w:val="28"/>
          <w:lang w:eastAsia="uk-UA"/>
          <w14:ligatures w14:val="none"/>
        </w:rPr>
        <w:t>н</w:t>
      </w:r>
      <w:r w:rsidRPr="00D32F25">
        <w:rPr>
          <w:rFonts w:ascii="Times New Roman" w:eastAsia="Times New Roman" w:hAnsi="Times New Roman" w:cs="Times New Roman"/>
          <w:kern w:val="0"/>
          <w:sz w:val="28"/>
          <w:szCs w:val="28"/>
          <w:lang w:eastAsia="uk-UA"/>
          <w14:ligatures w14:val="none"/>
        </w:rPr>
        <w:t xml:space="preserve">. Незастосування судом закону: між верховенством права та принципом розподілу державної влади (на прикладі захисту соціальних прав). Соціальні права. </w:t>
      </w:r>
      <w:r w:rsidRPr="00D32F25">
        <w:rPr>
          <w:rFonts w:ascii="Times New Roman" w:eastAsia="Times New Roman" w:hAnsi="Times New Roman" w:cs="Times New Roman"/>
          <w:iCs/>
          <w:kern w:val="0"/>
          <w:sz w:val="28"/>
          <w:szCs w:val="28"/>
          <w:lang w:eastAsia="uk-UA"/>
          <w14:ligatures w14:val="none"/>
        </w:rPr>
        <w:t xml:space="preserve">Виклики воєнного часу: зб. тез доп. Шостої </w:t>
      </w:r>
      <w:r w:rsidR="00A1153D" w:rsidRPr="00D32F25">
        <w:rPr>
          <w:rFonts w:ascii="Times New Roman" w:eastAsia="Times New Roman" w:hAnsi="Times New Roman" w:cs="Times New Roman"/>
          <w:iCs/>
          <w:kern w:val="0"/>
          <w:sz w:val="28"/>
          <w:szCs w:val="28"/>
          <w:lang w:eastAsia="uk-UA"/>
          <w14:ligatures w14:val="none"/>
        </w:rPr>
        <w:t>м</w:t>
      </w:r>
      <w:r w:rsidRPr="00D32F25">
        <w:rPr>
          <w:rFonts w:ascii="Times New Roman" w:eastAsia="Times New Roman" w:hAnsi="Times New Roman" w:cs="Times New Roman"/>
          <w:iCs/>
          <w:kern w:val="0"/>
          <w:sz w:val="28"/>
          <w:szCs w:val="28"/>
          <w:lang w:eastAsia="uk-UA"/>
          <w14:ligatures w14:val="none"/>
        </w:rPr>
        <w:t>іжнар. наук.- практ. конф. «Адміністративна юстиція в  Україні: проблеми теорії та  практики»</w:t>
      </w:r>
      <w:r w:rsidRPr="00D32F25">
        <w:rPr>
          <w:rFonts w:ascii="Times New Roman" w:eastAsia="Times New Roman" w:hAnsi="Times New Roman" w:cs="Times New Roman"/>
          <w:kern w:val="0"/>
          <w:sz w:val="28"/>
          <w:szCs w:val="28"/>
          <w:lang w:eastAsia="uk-UA"/>
          <w14:ligatures w14:val="none"/>
        </w:rPr>
        <w:t xml:space="preserve"> (м. Київ, 6 лип. 2023 р.).  Харків: Право, 2023. 412 с.</w:t>
      </w:r>
      <w:r w:rsidR="00BC1880" w:rsidRPr="00D32F25">
        <w:rPr>
          <w:rFonts w:ascii="Times New Roman" w:eastAsia="Times New Roman" w:hAnsi="Times New Roman" w:cs="Times New Roman"/>
          <w:kern w:val="0"/>
          <w:sz w:val="28"/>
          <w:szCs w:val="28"/>
          <w:lang w:eastAsia="uk-UA"/>
          <w14:ligatures w14:val="none"/>
        </w:rPr>
        <w:t xml:space="preserve"> – С. 133-138. URL:  </w:t>
      </w:r>
      <w:hyperlink r:id="rId8" w:history="1">
        <w:r w:rsidR="00BC1880" w:rsidRPr="00D32F25">
          <w:rPr>
            <w:rStyle w:val="a3"/>
            <w:rFonts w:ascii="Times New Roman" w:eastAsia="Times New Roman" w:hAnsi="Times New Roman" w:cs="Times New Roman"/>
            <w:kern w:val="0"/>
            <w:sz w:val="28"/>
            <w:szCs w:val="28"/>
            <w:lang w:eastAsia="uk-UA"/>
            <w14:ligatures w14:val="none"/>
          </w:rPr>
          <w:t>https://supreme.court.gov.ua/userfiles/media/new_folder_for_uploads/supreme/kas_rish/Zbirnik_tez_6_konferen_6_07_2023.pdf</w:t>
        </w:r>
      </w:hyperlink>
    </w:p>
    <w:p w:rsidR="00BC1880" w:rsidRPr="00D32F25" w:rsidRDefault="008513B9" w:rsidP="00BC1880">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Берназюк Я</w:t>
      </w:r>
      <w:r w:rsidR="00D32F25" w:rsidRPr="00D32F25">
        <w:rPr>
          <w:rFonts w:ascii="Times New Roman" w:eastAsia="Times New Roman" w:hAnsi="Times New Roman" w:cs="Times New Roman"/>
          <w:kern w:val="0"/>
          <w:sz w:val="28"/>
          <w:szCs w:val="28"/>
          <w:lang w:eastAsia="uk-UA"/>
          <w14:ligatures w14:val="none"/>
        </w:rPr>
        <w:t>н</w:t>
      </w:r>
      <w:r w:rsidRPr="00D32F25">
        <w:rPr>
          <w:rFonts w:ascii="Times New Roman" w:eastAsia="Times New Roman" w:hAnsi="Times New Roman" w:cs="Times New Roman"/>
          <w:kern w:val="0"/>
          <w:sz w:val="28"/>
          <w:szCs w:val="28"/>
          <w:lang w:eastAsia="uk-UA"/>
          <w14:ligatures w14:val="none"/>
        </w:rPr>
        <w:t xml:space="preserve">. Застосування принципу верховенства права (правовладдя) для вирішення колізій у законодавстві. </w:t>
      </w:r>
      <w:r w:rsidRPr="00D32F25">
        <w:rPr>
          <w:rFonts w:ascii="Times New Roman" w:eastAsia="Times New Roman" w:hAnsi="Times New Roman" w:cs="Times New Roman"/>
          <w:iCs/>
          <w:kern w:val="0"/>
          <w:sz w:val="28"/>
          <w:szCs w:val="28"/>
          <w:lang w:eastAsia="uk-UA"/>
          <w14:ligatures w14:val="none"/>
        </w:rPr>
        <w:t>Експерт: парадигми юридичних наук і державного управління</w:t>
      </w:r>
      <w:r w:rsidR="00BC1880" w:rsidRPr="00D32F25">
        <w:rPr>
          <w:rFonts w:ascii="Times New Roman" w:eastAsia="Times New Roman" w:hAnsi="Times New Roman" w:cs="Times New Roman"/>
          <w:kern w:val="0"/>
          <w:sz w:val="28"/>
          <w:szCs w:val="28"/>
          <w:lang w:eastAsia="uk-UA"/>
          <w14:ligatures w14:val="none"/>
        </w:rPr>
        <w:t>. 2023. № 4</w:t>
      </w:r>
      <w:r w:rsidR="00EE0B1B" w:rsidRPr="00D32F25">
        <w:rPr>
          <w:rFonts w:ascii="Times New Roman" w:eastAsia="Times New Roman" w:hAnsi="Times New Roman" w:cs="Times New Roman"/>
          <w:kern w:val="0"/>
          <w:sz w:val="28"/>
          <w:szCs w:val="28"/>
          <w:lang w:eastAsia="uk-UA"/>
          <w14:ligatures w14:val="none"/>
        </w:rPr>
        <w:t xml:space="preserve"> </w:t>
      </w:r>
      <w:r w:rsidR="00BC1880" w:rsidRPr="00D32F25">
        <w:rPr>
          <w:rFonts w:ascii="Times New Roman" w:eastAsia="Times New Roman" w:hAnsi="Times New Roman" w:cs="Times New Roman"/>
          <w:kern w:val="0"/>
          <w:sz w:val="28"/>
          <w:szCs w:val="28"/>
          <w:lang w:eastAsia="uk-UA"/>
          <w14:ligatures w14:val="none"/>
        </w:rPr>
        <w:t xml:space="preserve">(22). С. 80-89. URL:  </w:t>
      </w:r>
      <w:hyperlink r:id="rId9" w:history="1">
        <w:r w:rsidR="00BC1880" w:rsidRPr="00D32F25">
          <w:rPr>
            <w:rStyle w:val="a3"/>
            <w:rFonts w:ascii="Times New Roman" w:eastAsia="Times New Roman" w:hAnsi="Times New Roman" w:cs="Times New Roman"/>
            <w:kern w:val="0"/>
            <w:sz w:val="28"/>
            <w:szCs w:val="28"/>
            <w:lang w:eastAsia="uk-UA"/>
            <w14:ligatures w14:val="none"/>
          </w:rPr>
          <w:t>https://constitutionalist.com.ua/zastosuvannia-pryntsypu-verkhovenstva-prava-pravovladdia-dlia-vyrishennia-kolizij-u-zakonodavstvi</w:t>
        </w:r>
      </w:hyperlink>
      <w:r w:rsidR="00BC1880" w:rsidRPr="00D32F25">
        <w:rPr>
          <w:rFonts w:ascii="Times New Roman" w:eastAsia="Times New Roman" w:hAnsi="Times New Roman" w:cs="Times New Roman"/>
          <w:kern w:val="0"/>
          <w:sz w:val="28"/>
          <w:szCs w:val="28"/>
          <w:lang w:eastAsia="uk-UA"/>
          <w14:ligatures w14:val="none"/>
        </w:rPr>
        <w:t xml:space="preserve"> </w:t>
      </w:r>
    </w:p>
    <w:p w:rsidR="00BC1880" w:rsidRPr="00D32F25" w:rsidRDefault="008513B9" w:rsidP="00BC1880">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lastRenderedPageBreak/>
        <w:t xml:space="preserve">Антошкіна В. К. Способи і правила тлумачення норм права та договорів. </w:t>
      </w:r>
      <w:r w:rsidRPr="00D32F25">
        <w:rPr>
          <w:rFonts w:ascii="Times New Roman" w:eastAsia="Times New Roman" w:hAnsi="Times New Roman" w:cs="Times New Roman"/>
          <w:bCs/>
          <w:iCs/>
          <w:kern w:val="0"/>
          <w:sz w:val="28"/>
          <w:szCs w:val="28"/>
          <w:lang w:eastAsia="uk-UA"/>
          <w14:ligatures w14:val="none"/>
        </w:rPr>
        <w:t>Прикарпатський юридичний вісник</w:t>
      </w:r>
      <w:r w:rsidRPr="00D32F25">
        <w:rPr>
          <w:rFonts w:ascii="Times New Roman" w:eastAsia="Times New Roman" w:hAnsi="Times New Roman" w:cs="Times New Roman"/>
          <w:bCs/>
          <w:kern w:val="0"/>
          <w:sz w:val="28"/>
          <w:szCs w:val="28"/>
          <w:lang w:eastAsia="uk-UA"/>
          <w14:ligatures w14:val="none"/>
        </w:rPr>
        <w:t>. 2019. Вип. 4(29). Т. 1. С. 8-14</w:t>
      </w:r>
      <w:r w:rsidR="00BC1880" w:rsidRPr="00D32F25">
        <w:rPr>
          <w:rFonts w:ascii="Times New Roman" w:eastAsia="Times New Roman" w:hAnsi="Times New Roman" w:cs="Times New Roman"/>
          <w:kern w:val="0"/>
          <w:sz w:val="28"/>
          <w:szCs w:val="28"/>
          <w:lang w:eastAsia="uk-UA"/>
          <w14:ligatures w14:val="none"/>
        </w:rPr>
        <w:t xml:space="preserve">. URL:  </w:t>
      </w:r>
      <w:hyperlink r:id="rId10" w:history="1">
        <w:r w:rsidR="00BC1880" w:rsidRPr="00D32F25">
          <w:rPr>
            <w:rStyle w:val="a3"/>
            <w:rFonts w:ascii="Times New Roman" w:eastAsia="Times New Roman" w:hAnsi="Times New Roman" w:cs="Times New Roman"/>
            <w:bCs/>
            <w:kern w:val="0"/>
            <w:sz w:val="28"/>
            <w:szCs w:val="28"/>
            <w:lang w:eastAsia="uk-UA"/>
            <w14:ligatures w14:val="none"/>
          </w:rPr>
          <w:t>http://pjv.nuoua.od.ua/v4-1_2019/4.pdf</w:t>
        </w:r>
      </w:hyperlink>
      <w:r w:rsidR="00BC1880" w:rsidRPr="00D32F25">
        <w:rPr>
          <w:rFonts w:ascii="Times New Roman" w:eastAsia="Times New Roman" w:hAnsi="Times New Roman" w:cs="Times New Roman"/>
          <w:bCs/>
          <w:kern w:val="0"/>
          <w:sz w:val="28"/>
          <w:szCs w:val="28"/>
          <w:lang w:eastAsia="uk-UA"/>
          <w14:ligatures w14:val="none"/>
        </w:rPr>
        <w:t xml:space="preserve"> </w:t>
      </w:r>
    </w:p>
    <w:p w:rsidR="003154FD" w:rsidRPr="00D32F25" w:rsidRDefault="008513B9" w:rsidP="00BC1880">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 xml:space="preserve">Капліна О. В. Телеологічне (цільове) тлумачення норм кримінально-процесуального права. </w:t>
      </w:r>
      <w:r w:rsidRPr="00D32F25">
        <w:rPr>
          <w:rFonts w:ascii="Times New Roman" w:eastAsia="Times New Roman" w:hAnsi="Times New Roman" w:cs="Times New Roman"/>
          <w:iCs/>
          <w:kern w:val="0"/>
          <w:sz w:val="28"/>
          <w:szCs w:val="28"/>
          <w:lang w:eastAsia="uk-UA"/>
          <w14:ligatures w14:val="none"/>
        </w:rPr>
        <w:t>Вісник Академії правових наук України: зб. наук. пр. Харків,</w:t>
      </w:r>
      <w:r w:rsidRPr="00D32F25">
        <w:rPr>
          <w:rFonts w:ascii="Times New Roman" w:eastAsia="Times New Roman" w:hAnsi="Times New Roman" w:cs="Times New Roman"/>
          <w:kern w:val="0"/>
          <w:sz w:val="28"/>
          <w:szCs w:val="28"/>
          <w:lang w:eastAsia="uk-UA"/>
          <w14:ligatures w14:val="none"/>
        </w:rPr>
        <w:t xml:space="preserve"> 2011. № 4. С. 170–182</w:t>
      </w:r>
      <w:r w:rsidR="00BC1880" w:rsidRPr="00D32F25">
        <w:rPr>
          <w:rFonts w:ascii="Times New Roman" w:eastAsia="Times New Roman" w:hAnsi="Times New Roman" w:cs="Times New Roman"/>
          <w:kern w:val="0"/>
          <w:sz w:val="28"/>
          <w:szCs w:val="28"/>
          <w:lang w:eastAsia="uk-UA"/>
          <w14:ligatures w14:val="none"/>
        </w:rPr>
        <w:t xml:space="preserve">. URL:  </w:t>
      </w:r>
      <w:hyperlink r:id="rId11" w:history="1">
        <w:r w:rsidR="00BC1880" w:rsidRPr="00D32F25">
          <w:rPr>
            <w:rStyle w:val="a3"/>
            <w:rFonts w:ascii="Times New Roman" w:eastAsia="Times New Roman" w:hAnsi="Times New Roman" w:cs="Times New Roman"/>
            <w:kern w:val="0"/>
            <w:sz w:val="28"/>
            <w:szCs w:val="28"/>
            <w:lang w:eastAsia="uk-UA"/>
            <w14:ligatures w14:val="none"/>
          </w:rPr>
          <w:t>https://dspace.nlu.edu.ua/bitstream/123456789/7456/1/Kaplina_170.pdf</w:t>
        </w:r>
      </w:hyperlink>
      <w:r w:rsidR="00BC1880" w:rsidRPr="00D32F25">
        <w:rPr>
          <w:rFonts w:ascii="Times New Roman" w:eastAsia="Times New Roman" w:hAnsi="Times New Roman" w:cs="Times New Roman"/>
          <w:kern w:val="0"/>
          <w:sz w:val="28"/>
          <w:szCs w:val="28"/>
          <w:lang w:eastAsia="uk-UA"/>
          <w14:ligatures w14:val="none"/>
        </w:rPr>
        <w:t xml:space="preserve"> </w:t>
      </w:r>
    </w:p>
    <w:p w:rsidR="003154FD" w:rsidRPr="00D32F25" w:rsidRDefault="008513B9" w:rsidP="003154FD">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Мірошниченко А. М. Суддівський розсуд, судова помилка та суддівське свавілля (через призму юридичної відповідальності суддів): науково-практичний посібник. К</w:t>
      </w:r>
      <w:r w:rsidR="003154FD" w:rsidRPr="00D32F25">
        <w:rPr>
          <w:rFonts w:ascii="Times New Roman" w:eastAsia="Times New Roman" w:hAnsi="Times New Roman" w:cs="Times New Roman"/>
          <w:bCs/>
          <w:kern w:val="0"/>
          <w:sz w:val="28"/>
          <w:szCs w:val="28"/>
          <w:lang w:eastAsia="uk-UA"/>
          <w14:ligatures w14:val="none"/>
        </w:rPr>
        <w:t>иїв: Юрінком Інтер, 2020. 117 с</w:t>
      </w:r>
      <w:r w:rsidR="003154FD" w:rsidRPr="00D32F25">
        <w:rPr>
          <w:rFonts w:ascii="Times New Roman" w:eastAsia="Times New Roman" w:hAnsi="Times New Roman" w:cs="Times New Roman"/>
          <w:kern w:val="0"/>
          <w:sz w:val="28"/>
          <w:szCs w:val="28"/>
          <w:lang w:eastAsia="uk-UA"/>
          <w14:ligatures w14:val="none"/>
        </w:rPr>
        <w:t xml:space="preserve">. URL:  </w:t>
      </w:r>
      <w:hyperlink r:id="rId12" w:history="1">
        <w:r w:rsidR="003154FD" w:rsidRPr="00D32F25">
          <w:rPr>
            <w:rStyle w:val="a3"/>
            <w:rFonts w:ascii="Times New Roman" w:eastAsia="Times New Roman" w:hAnsi="Times New Roman" w:cs="Times New Roman"/>
            <w:bCs/>
            <w:kern w:val="0"/>
            <w:sz w:val="28"/>
            <w:szCs w:val="28"/>
            <w:lang w:eastAsia="uk-UA"/>
            <w14:ligatures w14:val="none"/>
          </w:rPr>
          <w:t>https://yurincom.com/files/contents/suddivskij-rozsud-sudova-pomilka-ta-suddivske-svavillya-cherez-prizmu-yuridichnoi-vidpovidalnosti-suddiv.pdf?srsltid=AfmBOor5ifVhi18QmNfdZeoD-VXSoxkDsqqSadhpJUyHjgkDXg2CNqSk</w:t>
        </w:r>
      </w:hyperlink>
      <w:r w:rsidR="003154FD" w:rsidRPr="00D32F25">
        <w:rPr>
          <w:rFonts w:ascii="Times New Roman" w:eastAsia="Times New Roman" w:hAnsi="Times New Roman" w:cs="Times New Roman"/>
          <w:bCs/>
          <w:kern w:val="0"/>
          <w:sz w:val="28"/>
          <w:szCs w:val="28"/>
          <w:lang w:eastAsia="uk-UA"/>
          <w14:ligatures w14:val="none"/>
        </w:rPr>
        <w:t xml:space="preserve"> </w:t>
      </w:r>
    </w:p>
    <w:p w:rsidR="008513B9" w:rsidRPr="00D32F25" w:rsidRDefault="008513B9" w:rsidP="003154FD">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 xml:space="preserve">Ткачук О., Луспеник Д. Верховенство права – новий «старий» принцип цивільного судочинства: співвідношення із принципом законності. </w:t>
      </w:r>
      <w:r w:rsidRPr="00D32F25">
        <w:rPr>
          <w:rFonts w:ascii="Times New Roman" w:eastAsia="Times New Roman" w:hAnsi="Times New Roman" w:cs="Times New Roman"/>
          <w:iCs/>
          <w:kern w:val="0"/>
          <w:sz w:val="28"/>
          <w:szCs w:val="28"/>
          <w:lang w:eastAsia="uk-UA"/>
          <w14:ligatures w14:val="none"/>
        </w:rPr>
        <w:t>Слово Національної школи суддів України</w:t>
      </w:r>
      <w:r w:rsidR="003154FD" w:rsidRPr="00D32F25">
        <w:rPr>
          <w:rFonts w:ascii="Times New Roman" w:eastAsia="Times New Roman" w:hAnsi="Times New Roman" w:cs="Times New Roman"/>
          <w:kern w:val="0"/>
          <w:sz w:val="28"/>
          <w:szCs w:val="28"/>
          <w:lang w:eastAsia="uk-UA"/>
          <w14:ligatures w14:val="none"/>
        </w:rPr>
        <w:t xml:space="preserve">. 2017. № 3(20). С. 50–66. URL: </w:t>
      </w:r>
      <w:r w:rsidRPr="00D32F25">
        <w:rPr>
          <w:rFonts w:ascii="Times New Roman" w:eastAsia="Times New Roman" w:hAnsi="Times New Roman" w:cs="Times New Roman"/>
          <w:kern w:val="0"/>
          <w:sz w:val="28"/>
          <w:szCs w:val="28"/>
          <w:lang w:eastAsia="uk-UA"/>
          <w14:ligatures w14:val="none"/>
        </w:rPr>
        <w:t xml:space="preserve"> </w:t>
      </w:r>
      <w:hyperlink r:id="rId13" w:history="1">
        <w:r w:rsidR="003154FD" w:rsidRPr="00D32F25">
          <w:rPr>
            <w:rStyle w:val="a3"/>
            <w:rFonts w:ascii="Times New Roman" w:eastAsia="Times New Roman" w:hAnsi="Times New Roman" w:cs="Times New Roman"/>
            <w:kern w:val="0"/>
            <w:sz w:val="28"/>
            <w:szCs w:val="28"/>
            <w:lang w:eastAsia="uk-UA"/>
            <w14:ligatures w14:val="none"/>
          </w:rPr>
          <w:t>https://slovo.nsj.gov.ua/index.php/ua/arkhiv-nomeriv/2017/3-20-2017/14-arh-2017/261-verkhovenstvo-prava-novij-starij-printsip-tsivilnogo-sudochinstva-spivvidnoshennya-iz-printsipom-zakonnosti</w:t>
        </w:r>
      </w:hyperlink>
      <w:r w:rsidR="003154FD" w:rsidRPr="00D32F25">
        <w:rPr>
          <w:rFonts w:ascii="Times New Roman" w:eastAsia="Times New Roman" w:hAnsi="Times New Roman" w:cs="Times New Roman"/>
          <w:kern w:val="0"/>
          <w:sz w:val="28"/>
          <w:szCs w:val="28"/>
          <w:lang w:eastAsia="uk-UA"/>
          <w14:ligatures w14:val="none"/>
        </w:rPr>
        <w:t xml:space="preserve"> </w:t>
      </w:r>
    </w:p>
    <w:p w:rsidR="003154FD" w:rsidRPr="00D32F25" w:rsidRDefault="008513B9" w:rsidP="003154FD">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 xml:space="preserve">Білак М. В. Доктрина норм прямої дії Конституції України: правозастосування. </w:t>
      </w:r>
      <w:r w:rsidRPr="00D32F25">
        <w:rPr>
          <w:rFonts w:ascii="Times New Roman" w:eastAsia="Times New Roman" w:hAnsi="Times New Roman" w:cs="Times New Roman"/>
          <w:iCs/>
          <w:kern w:val="0"/>
          <w:sz w:val="28"/>
          <w:szCs w:val="28"/>
          <w:lang w:eastAsia="uk-UA"/>
          <w14:ligatures w14:val="none"/>
        </w:rPr>
        <w:t>Юридична практика</w:t>
      </w:r>
      <w:r w:rsidRPr="00D32F25">
        <w:rPr>
          <w:rFonts w:ascii="Times New Roman" w:eastAsia="Times New Roman" w:hAnsi="Times New Roman" w:cs="Times New Roman"/>
          <w:kern w:val="0"/>
          <w:sz w:val="28"/>
          <w:szCs w:val="28"/>
          <w:lang w:eastAsia="uk-UA"/>
          <w14:ligatures w14:val="none"/>
        </w:rPr>
        <w:t xml:space="preserve">. 2021. URL: </w:t>
      </w:r>
      <w:hyperlink r:id="rId14" w:history="1">
        <w:r w:rsidR="00A1153D" w:rsidRPr="00D32F25">
          <w:rPr>
            <w:rStyle w:val="a3"/>
            <w:rFonts w:ascii="Times New Roman" w:eastAsia="Times New Roman" w:hAnsi="Times New Roman" w:cs="Times New Roman"/>
            <w:kern w:val="0"/>
            <w:sz w:val="28"/>
            <w:szCs w:val="28"/>
            <w:lang w:eastAsia="uk-UA"/>
            <w14:ligatures w14:val="none"/>
          </w:rPr>
          <w:t>https://pravo.ua/doktryna-norm-priamoi-diikonstytutsii-ukrainy-pravozastosuvannia</w:t>
        </w:r>
      </w:hyperlink>
      <w:r w:rsidR="00A1153D" w:rsidRPr="00D32F25">
        <w:rPr>
          <w:rFonts w:ascii="Times New Roman" w:eastAsia="Times New Roman" w:hAnsi="Times New Roman" w:cs="Times New Roman"/>
          <w:kern w:val="0"/>
          <w:sz w:val="28"/>
          <w:szCs w:val="28"/>
          <w:lang w:eastAsia="uk-UA"/>
          <w14:ligatures w14:val="none"/>
        </w:rPr>
        <w:t xml:space="preserve">  </w:t>
      </w:r>
    </w:p>
    <w:p w:rsidR="000649EC" w:rsidRDefault="008513B9" w:rsidP="000649EC">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 xml:space="preserve">Юхимюк О. М. Способи (методи) тлумачення права в практиці Суду Справедливості ЄС. </w:t>
      </w:r>
      <w:r w:rsidRPr="00D32F25">
        <w:rPr>
          <w:rFonts w:ascii="Times New Roman" w:eastAsia="Times New Roman" w:hAnsi="Times New Roman" w:cs="Times New Roman"/>
          <w:iCs/>
          <w:kern w:val="0"/>
          <w:sz w:val="28"/>
          <w:szCs w:val="28"/>
          <w:lang w:eastAsia="uk-UA"/>
          <w14:ligatures w14:val="none"/>
        </w:rPr>
        <w:t>Науковий вісник Ужгородського національного університету.</w:t>
      </w:r>
      <w:r w:rsidRPr="00D32F25">
        <w:rPr>
          <w:rFonts w:ascii="Times New Roman" w:eastAsia="Times New Roman" w:hAnsi="Times New Roman" w:cs="Times New Roman"/>
          <w:kern w:val="0"/>
          <w:sz w:val="28"/>
          <w:szCs w:val="28"/>
          <w:lang w:eastAsia="uk-UA"/>
          <w14:ligatures w14:val="none"/>
        </w:rPr>
        <w:t xml:space="preserve"> Серія: Право. 2024. Т. 5 № 86. С. 358-364. </w:t>
      </w:r>
      <w:r w:rsidR="003154FD" w:rsidRPr="00D32F25">
        <w:rPr>
          <w:rFonts w:ascii="Times New Roman" w:eastAsia="Times New Roman" w:hAnsi="Times New Roman" w:cs="Times New Roman"/>
          <w:kern w:val="0"/>
          <w:sz w:val="28"/>
          <w:szCs w:val="28"/>
          <w:lang w:eastAsia="uk-UA"/>
          <w14:ligatures w14:val="none"/>
        </w:rPr>
        <w:t xml:space="preserve">URL: </w:t>
      </w:r>
      <w:hyperlink r:id="rId15" w:history="1">
        <w:r w:rsidR="003154FD" w:rsidRPr="00D32F25">
          <w:rPr>
            <w:rStyle w:val="a3"/>
            <w:rFonts w:ascii="Times New Roman" w:eastAsia="Times New Roman" w:hAnsi="Times New Roman" w:cs="Times New Roman"/>
            <w:kern w:val="0"/>
            <w:sz w:val="28"/>
            <w:szCs w:val="28"/>
            <w:lang w:eastAsia="uk-UA"/>
            <w14:ligatures w14:val="none"/>
          </w:rPr>
          <w:t>http://visnyk-pravo.uzhnu.edu.ua/article/view/321412</w:t>
        </w:r>
      </w:hyperlink>
      <w:r w:rsidR="003154FD" w:rsidRPr="00D32F25">
        <w:rPr>
          <w:rFonts w:ascii="Times New Roman" w:eastAsia="Times New Roman" w:hAnsi="Times New Roman" w:cs="Times New Roman"/>
          <w:kern w:val="0"/>
          <w:sz w:val="28"/>
          <w:szCs w:val="28"/>
          <w:lang w:eastAsia="uk-UA"/>
          <w14:ligatures w14:val="none"/>
        </w:rPr>
        <w:t xml:space="preserve"> </w:t>
      </w:r>
    </w:p>
    <w:p w:rsidR="008513B9" w:rsidRPr="000649EC" w:rsidRDefault="008513B9" w:rsidP="000649EC">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0649EC">
        <w:rPr>
          <w:rFonts w:ascii="Times New Roman" w:eastAsia="Times New Roman" w:hAnsi="Times New Roman" w:cs="Times New Roman"/>
          <w:kern w:val="0"/>
          <w:sz w:val="28"/>
          <w:szCs w:val="28"/>
          <w:lang w:eastAsia="uk-UA"/>
          <w14:ligatures w14:val="none"/>
        </w:rPr>
        <w:t>Проблеми тлумачення правових норм: посібник; автор-упорядник О. М. Балинська. Львів: Львівський державний університет внутрішніх справ, 2021. 392 </w:t>
      </w:r>
      <w:r w:rsidR="003154FD" w:rsidRPr="000649EC">
        <w:rPr>
          <w:rFonts w:ascii="Times New Roman" w:eastAsia="Times New Roman" w:hAnsi="Times New Roman" w:cs="Times New Roman"/>
          <w:kern w:val="0"/>
          <w:sz w:val="28"/>
          <w:szCs w:val="28"/>
          <w:lang w:eastAsia="uk-UA"/>
          <w14:ligatures w14:val="none"/>
        </w:rPr>
        <w:t xml:space="preserve">с. URL: </w:t>
      </w:r>
      <w:hyperlink r:id="rId16" w:history="1">
        <w:r w:rsidR="000649EC" w:rsidRPr="000649EC">
          <w:rPr>
            <w:rStyle w:val="a3"/>
            <w:rFonts w:ascii="Times New Roman" w:eastAsia="Times New Roman" w:hAnsi="Times New Roman" w:cs="Times New Roman"/>
            <w:kern w:val="0"/>
            <w:sz w:val="28"/>
            <w:szCs w:val="28"/>
            <w:lang w:eastAsia="uk-UA"/>
            <w14:ligatures w14:val="none"/>
          </w:rPr>
          <w:t>https://dspace.lvduvs.edu.ua/handle/1234567890/4092</w:t>
        </w:r>
      </w:hyperlink>
      <w:r w:rsidR="000649EC" w:rsidRPr="000649EC">
        <w:rPr>
          <w:rFonts w:ascii="Times New Roman" w:eastAsia="Times New Roman" w:hAnsi="Times New Roman" w:cs="Times New Roman"/>
          <w:kern w:val="0"/>
          <w:sz w:val="28"/>
          <w:szCs w:val="28"/>
          <w:lang w:eastAsia="uk-UA"/>
          <w14:ligatures w14:val="none"/>
        </w:rPr>
        <w:t xml:space="preserve"> </w:t>
      </w:r>
    </w:p>
    <w:p w:rsidR="008513B9" w:rsidRPr="00D32F25"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bCs/>
          <w:iCs/>
          <w:kern w:val="0"/>
          <w:sz w:val="28"/>
          <w:szCs w:val="28"/>
          <w:lang w:eastAsia="uk-UA"/>
          <w14:ligatures w14:val="none"/>
        </w:rPr>
        <w:t>Циппеліус Р. Юридична методологія. Чернівці: "Рута", 2003. 184 с.</w:t>
      </w:r>
    </w:p>
    <w:p w:rsidR="003154FD" w:rsidRPr="00D32F25" w:rsidRDefault="008513B9" w:rsidP="003154FD">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lastRenderedPageBreak/>
        <w:t xml:space="preserve">Про введення воєнного стану в Україні: Указ Президента України від 24.02.2022 № 64/2022, затверджено Законом № 2102-IX від 24.02.2022. URL: </w:t>
      </w:r>
      <w:hyperlink r:id="rId17" w:anchor="Text" w:history="1">
        <w:r w:rsidR="003154FD" w:rsidRPr="00D32F25">
          <w:rPr>
            <w:rStyle w:val="a3"/>
            <w:rFonts w:ascii="Times New Roman" w:eastAsia="Times New Roman" w:hAnsi="Times New Roman" w:cs="Times New Roman"/>
            <w:kern w:val="0"/>
            <w:sz w:val="28"/>
            <w:szCs w:val="28"/>
            <w:lang w:eastAsia="uk-UA"/>
            <w14:ligatures w14:val="none"/>
          </w:rPr>
          <w:t>https://zakon.rada.gov.ua/laws/show/64/2022#Text</w:t>
        </w:r>
      </w:hyperlink>
      <w:r w:rsidR="003154FD" w:rsidRPr="00D32F25">
        <w:rPr>
          <w:rFonts w:ascii="Times New Roman" w:eastAsia="Times New Roman" w:hAnsi="Times New Roman" w:cs="Times New Roman"/>
          <w:kern w:val="0"/>
          <w:sz w:val="28"/>
          <w:szCs w:val="28"/>
          <w:lang w:eastAsia="uk-UA"/>
          <w14:ligatures w14:val="none"/>
        </w:rPr>
        <w:t xml:space="preserve"> </w:t>
      </w:r>
    </w:p>
    <w:p w:rsidR="008513B9" w:rsidRPr="00D32F25" w:rsidRDefault="008513B9" w:rsidP="003154FD">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 xml:space="preserve">Фулей Т. Разова грошова допомога до 5 травня ветеранам війни: комуністичний реванш forever? Соціальні права. </w:t>
      </w:r>
      <w:r w:rsidRPr="00D32F25">
        <w:rPr>
          <w:rFonts w:ascii="Times New Roman" w:eastAsia="Times New Roman" w:hAnsi="Times New Roman" w:cs="Times New Roman"/>
          <w:iCs/>
          <w:kern w:val="0"/>
          <w:sz w:val="28"/>
          <w:szCs w:val="28"/>
          <w:lang w:eastAsia="uk-UA"/>
          <w14:ligatures w14:val="none"/>
        </w:rPr>
        <w:t>Виклики воєнного часу</w:t>
      </w:r>
      <w:r w:rsidR="003154FD" w:rsidRPr="00D32F25">
        <w:rPr>
          <w:rFonts w:ascii="Times New Roman" w:eastAsia="Times New Roman" w:hAnsi="Times New Roman" w:cs="Times New Roman"/>
          <w:iCs/>
          <w:kern w:val="0"/>
          <w:sz w:val="28"/>
          <w:szCs w:val="28"/>
          <w:lang w:eastAsia="uk-UA"/>
          <w14:ligatures w14:val="none"/>
        </w:rPr>
        <w:t>: зб. тез доп. Шостої м</w:t>
      </w:r>
      <w:r w:rsidRPr="00D32F25">
        <w:rPr>
          <w:rFonts w:ascii="Times New Roman" w:eastAsia="Times New Roman" w:hAnsi="Times New Roman" w:cs="Times New Roman"/>
          <w:iCs/>
          <w:kern w:val="0"/>
          <w:sz w:val="28"/>
          <w:szCs w:val="28"/>
          <w:lang w:eastAsia="uk-UA"/>
          <w14:ligatures w14:val="none"/>
        </w:rPr>
        <w:t>іжнар. наук.- практ. конф. «Адміністративна юстиція в  Україні: проблеми теорії та  практики»</w:t>
      </w:r>
      <w:r w:rsidRPr="00D32F25">
        <w:rPr>
          <w:rFonts w:ascii="Times New Roman" w:eastAsia="Times New Roman" w:hAnsi="Times New Roman" w:cs="Times New Roman"/>
          <w:kern w:val="0"/>
          <w:sz w:val="28"/>
          <w:szCs w:val="28"/>
          <w:lang w:eastAsia="uk-UA"/>
          <w14:ligatures w14:val="none"/>
        </w:rPr>
        <w:t xml:space="preserve"> (м. Київ, 6 лип. 2023 р.). Харків : Право, 2023. 412 с.</w:t>
      </w:r>
      <w:r w:rsidR="003154FD" w:rsidRPr="00D32F25">
        <w:rPr>
          <w:rFonts w:ascii="Times New Roman" w:eastAsia="Times New Roman" w:hAnsi="Times New Roman" w:cs="Times New Roman"/>
          <w:kern w:val="0"/>
          <w:sz w:val="28"/>
          <w:szCs w:val="28"/>
          <w:lang w:eastAsia="uk-UA"/>
          <w14:ligatures w14:val="none"/>
        </w:rPr>
        <w:t xml:space="preserve"> – С. 265-270. URL:  </w:t>
      </w:r>
      <w:hyperlink r:id="rId18" w:history="1">
        <w:r w:rsidR="003154FD" w:rsidRPr="00D32F25">
          <w:rPr>
            <w:rStyle w:val="a3"/>
            <w:rFonts w:ascii="Times New Roman" w:eastAsia="Times New Roman" w:hAnsi="Times New Roman" w:cs="Times New Roman"/>
            <w:kern w:val="0"/>
            <w:sz w:val="28"/>
            <w:szCs w:val="28"/>
            <w:lang w:eastAsia="uk-UA"/>
            <w14:ligatures w14:val="none"/>
          </w:rPr>
          <w:t>https://supreme.court.gov.ua/userfiles/media/new_folder_for_uploads/supreme/kas_rish/Zbirnik_tez_6_konferen_6_07_2023.pdf</w:t>
        </w:r>
      </w:hyperlink>
      <w:r w:rsidR="003154FD" w:rsidRPr="00D32F25">
        <w:rPr>
          <w:rFonts w:ascii="Times New Roman" w:eastAsia="Times New Roman" w:hAnsi="Times New Roman" w:cs="Times New Roman"/>
          <w:kern w:val="0"/>
          <w:sz w:val="28"/>
          <w:szCs w:val="28"/>
          <w:lang w:eastAsia="uk-UA"/>
          <w14:ligatures w14:val="none"/>
        </w:rPr>
        <w:t xml:space="preserve"> </w:t>
      </w:r>
    </w:p>
    <w:p w:rsidR="008513B9" w:rsidRPr="00D32F25"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Берназюк Я</w:t>
      </w:r>
      <w:r w:rsidR="00D32F25" w:rsidRPr="00D32F25">
        <w:rPr>
          <w:rFonts w:ascii="Times New Roman" w:eastAsia="Times New Roman" w:hAnsi="Times New Roman" w:cs="Times New Roman"/>
          <w:kern w:val="0"/>
          <w:sz w:val="28"/>
          <w:szCs w:val="28"/>
          <w:lang w:eastAsia="uk-UA"/>
          <w14:ligatures w14:val="none"/>
        </w:rPr>
        <w:t>н</w:t>
      </w:r>
      <w:r w:rsidRPr="00D32F25">
        <w:rPr>
          <w:rFonts w:ascii="Times New Roman" w:eastAsia="Times New Roman" w:hAnsi="Times New Roman" w:cs="Times New Roman"/>
          <w:kern w:val="0"/>
          <w:sz w:val="28"/>
          <w:szCs w:val="28"/>
          <w:lang w:eastAsia="uk-UA"/>
          <w14:ligatures w14:val="none"/>
        </w:rPr>
        <w:t xml:space="preserve">. Принцип законності як один із елементів верховенства права: особливості застосування під </w:t>
      </w:r>
      <w:r w:rsidR="000649EC">
        <w:rPr>
          <w:rFonts w:ascii="Times New Roman" w:eastAsia="Times New Roman" w:hAnsi="Times New Roman" w:cs="Times New Roman"/>
          <w:kern w:val="0"/>
          <w:sz w:val="28"/>
          <w:szCs w:val="28"/>
          <w:lang w:eastAsia="uk-UA"/>
          <w14:ligatures w14:val="none"/>
        </w:rPr>
        <w:t>час вирішення соціальних спорів</w:t>
      </w:r>
      <w:r w:rsidRPr="00D32F25">
        <w:rPr>
          <w:rFonts w:ascii="Times New Roman" w:eastAsia="Times New Roman" w:hAnsi="Times New Roman" w:cs="Times New Roman"/>
          <w:iCs/>
          <w:kern w:val="0"/>
          <w:sz w:val="28"/>
          <w:szCs w:val="28"/>
          <w:lang w:eastAsia="uk-UA"/>
          <w14:ligatures w14:val="none"/>
        </w:rPr>
        <w:t>.</w:t>
      </w:r>
      <w:r w:rsidRPr="00D32F25">
        <w:rPr>
          <w:rFonts w:ascii="Times New Roman" w:eastAsia="Times New Roman" w:hAnsi="Times New Roman" w:cs="Times New Roman"/>
          <w:kern w:val="0"/>
          <w:sz w:val="28"/>
          <w:szCs w:val="28"/>
          <w:lang w:eastAsia="uk-UA"/>
          <w14:ligatures w14:val="none"/>
        </w:rPr>
        <w:t xml:space="preserve"> 2023. URL: </w:t>
      </w:r>
      <w:hyperlink r:id="rId19" w:history="1">
        <w:r w:rsidR="00DF0FC5" w:rsidRPr="00D32F25">
          <w:rPr>
            <w:rStyle w:val="a3"/>
            <w:rFonts w:ascii="Times New Roman" w:eastAsia="Times New Roman" w:hAnsi="Times New Roman" w:cs="Times New Roman"/>
            <w:kern w:val="0"/>
            <w:sz w:val="28"/>
            <w:szCs w:val="28"/>
            <w:lang w:eastAsia="uk-UA"/>
            <w14:ligatures w14:val="none"/>
          </w:rPr>
          <w:t>https://constitutionalist.com.ua/pryntsyp-zakonnosti-iak-odyn-iz-elementiv-verkhovenstva-prava-osoblyvosti-zastosuvannia-pid-chas-vyrishennia-sotsialnykh-sporiv</w:t>
        </w:r>
      </w:hyperlink>
      <w:r w:rsidRPr="00D32F25">
        <w:rPr>
          <w:rFonts w:ascii="Times New Roman" w:eastAsia="Times New Roman" w:hAnsi="Times New Roman" w:cs="Times New Roman"/>
          <w:kern w:val="0"/>
          <w:sz w:val="28"/>
          <w:szCs w:val="28"/>
          <w:lang w:eastAsia="uk-UA"/>
          <w14:ligatures w14:val="none"/>
        </w:rPr>
        <w:t>.</w:t>
      </w:r>
    </w:p>
    <w:p w:rsidR="003154FD" w:rsidRPr="00D32F25" w:rsidRDefault="008513B9" w:rsidP="003154FD">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Берназюк Я</w:t>
      </w:r>
      <w:r w:rsidR="00D32F25" w:rsidRPr="00D32F25">
        <w:rPr>
          <w:rFonts w:ascii="Times New Roman" w:eastAsia="Times New Roman" w:hAnsi="Times New Roman" w:cs="Times New Roman"/>
          <w:kern w:val="0"/>
          <w:sz w:val="28"/>
          <w:szCs w:val="28"/>
          <w:lang w:eastAsia="uk-UA"/>
          <w14:ligatures w14:val="none"/>
        </w:rPr>
        <w:t>н</w:t>
      </w:r>
      <w:r w:rsidRPr="00D32F25">
        <w:rPr>
          <w:rFonts w:ascii="Times New Roman" w:eastAsia="Times New Roman" w:hAnsi="Times New Roman" w:cs="Times New Roman"/>
          <w:kern w:val="0"/>
          <w:sz w:val="28"/>
          <w:szCs w:val="28"/>
          <w:lang w:eastAsia="uk-UA"/>
          <w14:ligatures w14:val="none"/>
        </w:rPr>
        <w:t xml:space="preserve">. Суддівський активізм і правовий моніторинг: як Верховний Суд </w:t>
      </w:r>
      <w:r w:rsidR="00954515" w:rsidRPr="00D32F25">
        <w:rPr>
          <w:rFonts w:ascii="Times New Roman" w:eastAsia="Times New Roman" w:hAnsi="Times New Roman" w:cs="Times New Roman"/>
          <w:kern w:val="0"/>
          <w:sz w:val="28"/>
          <w:szCs w:val="28"/>
          <w:lang w:eastAsia="uk-UA"/>
          <w14:ligatures w14:val="none"/>
        </w:rPr>
        <w:t>впливає на якість законодавства</w:t>
      </w:r>
      <w:r w:rsidRPr="00D32F25">
        <w:rPr>
          <w:rFonts w:ascii="Times New Roman" w:eastAsia="Times New Roman" w:hAnsi="Times New Roman" w:cs="Times New Roman"/>
          <w:kern w:val="0"/>
          <w:sz w:val="28"/>
          <w:szCs w:val="28"/>
          <w:lang w:eastAsia="uk-UA"/>
          <w14:ligatures w14:val="none"/>
        </w:rPr>
        <w:t xml:space="preserve">. 2025. URL: </w:t>
      </w:r>
      <w:hyperlink r:id="rId20" w:history="1">
        <w:r w:rsidR="00DF0FC5" w:rsidRPr="00D32F25">
          <w:rPr>
            <w:rStyle w:val="a3"/>
            <w:rFonts w:ascii="Times New Roman" w:eastAsia="Times New Roman" w:hAnsi="Times New Roman" w:cs="Times New Roman"/>
            <w:kern w:val="0"/>
            <w:sz w:val="28"/>
            <w:szCs w:val="28"/>
            <w:lang w:eastAsia="uk-UA"/>
            <w14:ligatures w14:val="none"/>
          </w:rPr>
          <w:t>https://constitutionalist.com.ua/suddivskyj-aktyvizm-i-pravovyj-monitorynh-iak-verkhovnyj-sud-vplyvaie-na-iakist-zakonodavstva</w:t>
        </w:r>
      </w:hyperlink>
    </w:p>
    <w:p w:rsidR="003154FD" w:rsidRPr="00D32F25" w:rsidRDefault="008513B9" w:rsidP="003154FD">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Доповідь про правовладдя: Європейська комісія (Венеційська комісія) «За демократію через право», ухвалено на 86-му Венеційської комісії на пленарному засіданні. Венеція, 25–26</w:t>
      </w:r>
      <w:r w:rsidR="000649EC">
        <w:rPr>
          <w:rFonts w:ascii="Times New Roman" w:eastAsia="Times New Roman" w:hAnsi="Times New Roman" w:cs="Times New Roman"/>
          <w:kern w:val="0"/>
          <w:sz w:val="28"/>
          <w:szCs w:val="28"/>
          <w:lang w:eastAsia="uk-UA"/>
          <w14:ligatures w14:val="none"/>
        </w:rPr>
        <w:t>.03.</w:t>
      </w:r>
      <w:r w:rsidRPr="00D32F25">
        <w:rPr>
          <w:rFonts w:ascii="Times New Roman" w:eastAsia="Times New Roman" w:hAnsi="Times New Roman" w:cs="Times New Roman"/>
          <w:kern w:val="0"/>
          <w:sz w:val="28"/>
          <w:szCs w:val="28"/>
          <w:lang w:eastAsia="uk-UA"/>
          <w14:ligatures w14:val="none"/>
        </w:rPr>
        <w:t>2011</w:t>
      </w:r>
      <w:r w:rsidR="000649EC">
        <w:rPr>
          <w:rFonts w:ascii="Times New Roman" w:eastAsia="Times New Roman" w:hAnsi="Times New Roman" w:cs="Times New Roman"/>
          <w:kern w:val="0"/>
          <w:sz w:val="28"/>
          <w:szCs w:val="28"/>
          <w:lang w:eastAsia="uk-UA"/>
          <w14:ligatures w14:val="none"/>
        </w:rPr>
        <w:t>.</w:t>
      </w:r>
      <w:r w:rsidR="003154FD" w:rsidRPr="00D32F25">
        <w:rPr>
          <w:rFonts w:ascii="Times New Roman" w:eastAsia="Times New Roman" w:hAnsi="Times New Roman" w:cs="Times New Roman"/>
          <w:kern w:val="0"/>
          <w:sz w:val="28"/>
          <w:szCs w:val="28"/>
          <w:lang w:eastAsia="uk-UA"/>
          <w14:ligatures w14:val="none"/>
        </w:rPr>
        <w:t xml:space="preserve"> URL: </w:t>
      </w:r>
      <w:r w:rsidR="003154FD" w:rsidRPr="00D32F25">
        <w:t xml:space="preserve"> </w:t>
      </w:r>
      <w:hyperlink r:id="rId21" w:history="1">
        <w:r w:rsidR="003154FD" w:rsidRPr="00D32F25">
          <w:rPr>
            <w:rStyle w:val="a3"/>
            <w:rFonts w:ascii="Times New Roman" w:eastAsia="Times New Roman" w:hAnsi="Times New Roman" w:cs="Times New Roman"/>
            <w:kern w:val="0"/>
            <w:sz w:val="28"/>
            <w:szCs w:val="28"/>
            <w:lang w:eastAsia="uk-UA"/>
            <w14:ligatures w14:val="none"/>
          </w:rPr>
          <w:t>https://www.venice.coe.int/webforms/documents/default.aspx?pdffile=CDL-AD(2011)003rev2-ukr</w:t>
        </w:r>
      </w:hyperlink>
      <w:r w:rsidR="003154FD" w:rsidRPr="00D32F25">
        <w:rPr>
          <w:rFonts w:ascii="Times New Roman" w:eastAsia="Times New Roman" w:hAnsi="Times New Roman" w:cs="Times New Roman"/>
          <w:kern w:val="0"/>
          <w:sz w:val="28"/>
          <w:szCs w:val="28"/>
          <w:lang w:eastAsia="uk-UA"/>
          <w14:ligatures w14:val="none"/>
        </w:rPr>
        <w:t xml:space="preserve"> </w:t>
      </w:r>
    </w:p>
    <w:p w:rsidR="008513B9" w:rsidRPr="00D32F25" w:rsidRDefault="008513B9" w:rsidP="003154FD">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Головатий С. Мірило правовладдя. Коментар. Глосарій. Rule of Law Checklist. Київ: ВАІТЕ, 2017. 163 с.</w:t>
      </w:r>
      <w:r w:rsidR="003154FD" w:rsidRPr="00D32F25">
        <w:rPr>
          <w:rFonts w:ascii="Times New Roman" w:eastAsia="Times New Roman" w:hAnsi="Times New Roman" w:cs="Times New Roman"/>
          <w:kern w:val="0"/>
          <w:sz w:val="28"/>
          <w:szCs w:val="28"/>
          <w:lang w:eastAsia="uk-UA"/>
          <w14:ligatures w14:val="none"/>
        </w:rPr>
        <w:t xml:space="preserve"> URL: </w:t>
      </w:r>
      <w:hyperlink r:id="rId22" w:history="1">
        <w:r w:rsidR="003154FD" w:rsidRPr="00D32F25">
          <w:rPr>
            <w:rStyle w:val="a3"/>
            <w:rFonts w:ascii="Times New Roman" w:eastAsia="Times New Roman" w:hAnsi="Times New Roman" w:cs="Times New Roman"/>
            <w:kern w:val="0"/>
            <w:sz w:val="28"/>
            <w:szCs w:val="28"/>
            <w:lang w:eastAsia="uk-UA"/>
            <w14:ligatures w14:val="none"/>
          </w:rPr>
          <w:t>https://ccu.gov.ua/library/mirylo-pravovladdya-komentar-glosariy-rule-law-checklist</w:t>
        </w:r>
      </w:hyperlink>
      <w:r w:rsidR="003154FD" w:rsidRPr="00D32F25">
        <w:rPr>
          <w:rFonts w:ascii="Times New Roman" w:eastAsia="Times New Roman" w:hAnsi="Times New Roman" w:cs="Times New Roman"/>
          <w:kern w:val="0"/>
          <w:sz w:val="28"/>
          <w:szCs w:val="28"/>
          <w:lang w:eastAsia="uk-UA"/>
          <w14:ligatures w14:val="none"/>
        </w:rPr>
        <w:t xml:space="preserve"> </w:t>
      </w:r>
    </w:p>
    <w:p w:rsidR="008513B9" w:rsidRPr="00D32F25"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Адміністрування і Ви. Принципи адміністративного права у відносинах між особами та органами публічної влади. Посібник.</w:t>
      </w:r>
      <w:r w:rsidR="003154FD" w:rsidRPr="00D32F25">
        <w:rPr>
          <w:rFonts w:ascii="Times New Roman" w:eastAsia="Times New Roman" w:hAnsi="Times New Roman" w:cs="Times New Roman"/>
          <w:kern w:val="0"/>
          <w:sz w:val="28"/>
          <w:szCs w:val="28"/>
          <w:lang w:eastAsia="uk-UA"/>
          <w14:ligatures w14:val="none"/>
        </w:rPr>
        <w:t xml:space="preserve"> Київ</w:t>
      </w:r>
      <w:r w:rsidRPr="00D32F25">
        <w:rPr>
          <w:rFonts w:ascii="Times New Roman" w:eastAsia="Times New Roman" w:hAnsi="Times New Roman" w:cs="Times New Roman"/>
          <w:kern w:val="0"/>
          <w:sz w:val="28"/>
          <w:szCs w:val="28"/>
          <w:lang w:eastAsia="uk-UA"/>
          <w14:ligatures w14:val="none"/>
        </w:rPr>
        <w:t>: Ратіо Деціденді, 2020. 86 с.</w:t>
      </w:r>
    </w:p>
    <w:p w:rsidR="008513B9" w:rsidRPr="00D32F25"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lastRenderedPageBreak/>
        <w:t xml:space="preserve">Про правотворчу діяльність: Закон України від 24.08.2023 № 3354-IX. URL: </w:t>
      </w:r>
      <w:hyperlink r:id="rId23" w:anchor="Text" w:history="1">
        <w:r w:rsidR="00DF0FC5" w:rsidRPr="00D32F25">
          <w:rPr>
            <w:rStyle w:val="a3"/>
            <w:rFonts w:ascii="Times New Roman" w:eastAsia="Times New Roman" w:hAnsi="Times New Roman" w:cs="Times New Roman"/>
            <w:kern w:val="0"/>
            <w:sz w:val="28"/>
            <w:szCs w:val="28"/>
            <w:lang w:eastAsia="uk-UA"/>
            <w14:ligatures w14:val="none"/>
          </w:rPr>
          <w:t>https://zakon.rada.gov.ua/laws/show/3354-20#Text</w:t>
        </w:r>
      </w:hyperlink>
      <w:r w:rsidR="00DF0FC5" w:rsidRPr="00D32F25">
        <w:rPr>
          <w:rFonts w:ascii="Times New Roman" w:eastAsia="Times New Roman" w:hAnsi="Times New Roman" w:cs="Times New Roman"/>
          <w:kern w:val="0"/>
          <w:sz w:val="28"/>
          <w:szCs w:val="28"/>
          <w:lang w:eastAsia="uk-UA"/>
          <w14:ligatures w14:val="none"/>
        </w:rPr>
        <w:t xml:space="preserve"> </w:t>
      </w:r>
    </w:p>
    <w:p w:rsidR="008513B9" w:rsidRPr="00D32F25"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Про Регламент Верховної Ради України: Закон України від 10.02.2010 № 1861-VI.</w:t>
      </w:r>
      <w:r w:rsidRPr="00D32F25">
        <w:rPr>
          <w:rFonts w:ascii="Times New Roman" w:eastAsia="Times New Roman" w:hAnsi="Times New Roman" w:cs="Times New Roman"/>
          <w:b/>
          <w:bCs/>
          <w:kern w:val="0"/>
          <w:sz w:val="28"/>
          <w:szCs w:val="28"/>
          <w:lang w:eastAsia="uk-UA"/>
          <w14:ligatures w14:val="none"/>
        </w:rPr>
        <w:t xml:space="preserve"> </w:t>
      </w:r>
      <w:r w:rsidRPr="00D32F25">
        <w:rPr>
          <w:rFonts w:ascii="Times New Roman" w:eastAsia="Times New Roman" w:hAnsi="Times New Roman" w:cs="Times New Roman"/>
          <w:kern w:val="0"/>
          <w:sz w:val="28"/>
          <w:szCs w:val="28"/>
          <w:lang w:eastAsia="uk-UA"/>
          <w14:ligatures w14:val="none"/>
        </w:rPr>
        <w:t xml:space="preserve">URL: </w:t>
      </w:r>
      <w:hyperlink r:id="rId24" w:anchor="Text" w:history="1">
        <w:r w:rsidR="00DF0FC5" w:rsidRPr="00D32F25">
          <w:rPr>
            <w:rStyle w:val="a3"/>
            <w:rFonts w:ascii="Times New Roman" w:eastAsia="Times New Roman" w:hAnsi="Times New Roman" w:cs="Times New Roman"/>
            <w:kern w:val="0"/>
            <w:sz w:val="28"/>
            <w:szCs w:val="28"/>
            <w:lang w:eastAsia="uk-UA"/>
            <w14:ligatures w14:val="none"/>
          </w:rPr>
          <w:t>https://zakon.rada.gov.ua/laws/show/1861-17#Text</w:t>
        </w:r>
      </w:hyperlink>
      <w:r w:rsidR="00DF0FC5" w:rsidRPr="00D32F25">
        <w:rPr>
          <w:rFonts w:ascii="Times New Roman" w:eastAsia="Times New Roman" w:hAnsi="Times New Roman" w:cs="Times New Roman"/>
          <w:kern w:val="0"/>
          <w:sz w:val="28"/>
          <w:szCs w:val="28"/>
          <w:lang w:eastAsia="uk-UA"/>
          <w14:ligatures w14:val="none"/>
        </w:rPr>
        <w:t xml:space="preserve"> </w:t>
      </w:r>
    </w:p>
    <w:p w:rsidR="008513B9" w:rsidRPr="00D32F25"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Про Положення про порядок підготовки та внесення проектів актів Президента України (пункт 8): Указ Президента України від 15</w:t>
      </w:r>
      <w:r w:rsidR="000649EC">
        <w:rPr>
          <w:rFonts w:ascii="Times New Roman" w:eastAsia="Times New Roman" w:hAnsi="Times New Roman" w:cs="Times New Roman"/>
          <w:kern w:val="0"/>
          <w:sz w:val="28"/>
          <w:szCs w:val="28"/>
          <w:lang w:eastAsia="uk-UA"/>
          <w14:ligatures w14:val="none"/>
        </w:rPr>
        <w:t>.11.</w:t>
      </w:r>
      <w:r w:rsidRPr="00D32F25">
        <w:rPr>
          <w:rFonts w:ascii="Times New Roman" w:eastAsia="Times New Roman" w:hAnsi="Times New Roman" w:cs="Times New Roman"/>
          <w:kern w:val="0"/>
          <w:sz w:val="28"/>
          <w:szCs w:val="28"/>
          <w:lang w:eastAsia="uk-UA"/>
          <w14:ligatures w14:val="none"/>
        </w:rPr>
        <w:t xml:space="preserve">2006 № 970. URL: </w:t>
      </w:r>
      <w:hyperlink r:id="rId25" w:anchor="Text" w:history="1">
        <w:r w:rsidR="00DF0FC5" w:rsidRPr="00D32F25">
          <w:rPr>
            <w:rStyle w:val="a3"/>
            <w:rFonts w:ascii="Times New Roman" w:eastAsia="Times New Roman" w:hAnsi="Times New Roman" w:cs="Times New Roman"/>
            <w:kern w:val="0"/>
            <w:sz w:val="28"/>
            <w:szCs w:val="28"/>
            <w:lang w:eastAsia="uk-UA"/>
            <w14:ligatures w14:val="none"/>
          </w:rPr>
          <w:t>https://zakon.rada.gov.ua/laws/show/970/2006#Text</w:t>
        </w:r>
      </w:hyperlink>
      <w:r w:rsidR="00DF0FC5" w:rsidRPr="00D32F25">
        <w:rPr>
          <w:rFonts w:ascii="Times New Roman" w:eastAsia="Times New Roman" w:hAnsi="Times New Roman" w:cs="Times New Roman"/>
          <w:kern w:val="0"/>
          <w:sz w:val="28"/>
          <w:szCs w:val="28"/>
          <w:lang w:eastAsia="uk-UA"/>
          <w14:ligatures w14:val="none"/>
        </w:rPr>
        <w:t xml:space="preserve"> </w:t>
      </w:r>
    </w:p>
    <w:p w:rsidR="008513B9" w:rsidRPr="00D32F25"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Про затвердження Положення про порядок роботи з законопроектами та іншими документами, що вносяться Президентом України на розгляд Верховної Ради України: Указ Президента України від 30</w:t>
      </w:r>
      <w:r w:rsidR="000649EC">
        <w:rPr>
          <w:rFonts w:ascii="Times New Roman" w:eastAsia="Times New Roman" w:hAnsi="Times New Roman" w:cs="Times New Roman"/>
          <w:kern w:val="0"/>
          <w:sz w:val="28"/>
          <w:szCs w:val="28"/>
          <w:lang w:eastAsia="uk-UA"/>
          <w14:ligatures w14:val="none"/>
        </w:rPr>
        <w:t>.03.</w:t>
      </w:r>
      <w:r w:rsidRPr="00D32F25">
        <w:rPr>
          <w:rFonts w:ascii="Times New Roman" w:eastAsia="Times New Roman" w:hAnsi="Times New Roman" w:cs="Times New Roman"/>
          <w:kern w:val="0"/>
          <w:sz w:val="28"/>
          <w:szCs w:val="28"/>
          <w:lang w:eastAsia="uk-UA"/>
          <w14:ligatures w14:val="none"/>
        </w:rPr>
        <w:t xml:space="preserve">1995 № 270/95. URL: </w:t>
      </w:r>
      <w:hyperlink r:id="rId26" w:history="1">
        <w:r w:rsidR="00DF0FC5" w:rsidRPr="00D32F25">
          <w:rPr>
            <w:rStyle w:val="a3"/>
            <w:rFonts w:ascii="Times New Roman" w:eastAsia="Times New Roman" w:hAnsi="Times New Roman" w:cs="Times New Roman"/>
            <w:kern w:val="0"/>
            <w:sz w:val="28"/>
            <w:szCs w:val="28"/>
            <w:lang w:eastAsia="uk-UA"/>
            <w14:ligatures w14:val="none"/>
          </w:rPr>
          <w:t>http://zakon1.rada.gov.ua/cgi-bin/laws/main.cgi?nreg=270%2F95</w:t>
        </w:r>
      </w:hyperlink>
      <w:r w:rsidR="00DF0FC5" w:rsidRPr="00D32F25">
        <w:rPr>
          <w:rFonts w:ascii="Times New Roman" w:eastAsia="Times New Roman" w:hAnsi="Times New Roman" w:cs="Times New Roman"/>
          <w:kern w:val="0"/>
          <w:sz w:val="28"/>
          <w:szCs w:val="28"/>
          <w:lang w:eastAsia="uk-UA"/>
          <w14:ligatures w14:val="none"/>
        </w:rPr>
        <w:t xml:space="preserve"> </w:t>
      </w:r>
      <w:r w:rsidRPr="00D32F25">
        <w:rPr>
          <w:rFonts w:ascii="Times New Roman" w:eastAsia="Times New Roman" w:hAnsi="Times New Roman" w:cs="Times New Roman"/>
          <w:kern w:val="0"/>
          <w:sz w:val="28"/>
          <w:szCs w:val="28"/>
          <w:lang w:eastAsia="uk-UA"/>
          <w14:ligatures w14:val="none"/>
        </w:rPr>
        <w:t xml:space="preserve"> </w:t>
      </w:r>
    </w:p>
    <w:p w:rsidR="008513B9" w:rsidRPr="00D32F25"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Про затвердження Регламенту Кабінету Міністрів України: поста</w:t>
      </w:r>
      <w:r w:rsidR="000649EC">
        <w:rPr>
          <w:rFonts w:ascii="Times New Roman" w:eastAsia="Times New Roman" w:hAnsi="Times New Roman" w:cs="Times New Roman"/>
          <w:kern w:val="0"/>
          <w:sz w:val="28"/>
          <w:szCs w:val="28"/>
          <w:lang w:eastAsia="uk-UA"/>
          <w14:ligatures w14:val="none"/>
        </w:rPr>
        <w:t xml:space="preserve">нова Кабінету Міністрів України </w:t>
      </w:r>
      <w:r w:rsidRPr="00D32F25">
        <w:rPr>
          <w:rFonts w:ascii="Times New Roman" w:eastAsia="Times New Roman" w:hAnsi="Times New Roman" w:cs="Times New Roman"/>
          <w:kern w:val="0"/>
          <w:sz w:val="28"/>
          <w:szCs w:val="28"/>
          <w:lang w:eastAsia="uk-UA"/>
          <w14:ligatures w14:val="none"/>
        </w:rPr>
        <w:t>від</w:t>
      </w:r>
      <w:r w:rsidR="000649EC">
        <w:rPr>
          <w:rFonts w:ascii="Times New Roman" w:eastAsia="Times New Roman" w:hAnsi="Times New Roman" w:cs="Times New Roman"/>
          <w:kern w:val="0"/>
          <w:sz w:val="28"/>
          <w:szCs w:val="28"/>
          <w:lang w:eastAsia="uk-UA"/>
          <w14:ligatures w14:val="none"/>
        </w:rPr>
        <w:t xml:space="preserve"> </w:t>
      </w:r>
      <w:r w:rsidRPr="00D32F25">
        <w:rPr>
          <w:rFonts w:ascii="Times New Roman" w:eastAsia="Times New Roman" w:hAnsi="Times New Roman" w:cs="Times New Roman"/>
          <w:kern w:val="0"/>
          <w:sz w:val="28"/>
          <w:szCs w:val="28"/>
          <w:lang w:eastAsia="uk-UA"/>
          <w14:ligatures w14:val="none"/>
        </w:rPr>
        <w:t xml:space="preserve">18.07.2007 № 950. URL: </w:t>
      </w:r>
      <w:hyperlink r:id="rId27" w:anchor="Text" w:history="1">
        <w:r w:rsidR="00DF0FC5" w:rsidRPr="00D32F25">
          <w:rPr>
            <w:rStyle w:val="a3"/>
            <w:rFonts w:ascii="Times New Roman" w:eastAsia="Times New Roman" w:hAnsi="Times New Roman" w:cs="Times New Roman"/>
            <w:kern w:val="0"/>
            <w:sz w:val="28"/>
            <w:szCs w:val="28"/>
            <w:lang w:eastAsia="uk-UA"/>
            <w14:ligatures w14:val="none"/>
          </w:rPr>
          <w:t>https://zakon.rada.gov.ua/laws/show/950-2007-%D0%BF#Text</w:t>
        </w:r>
      </w:hyperlink>
      <w:r w:rsidR="00DF0FC5" w:rsidRPr="00D32F25">
        <w:rPr>
          <w:rFonts w:ascii="Times New Roman" w:eastAsia="Times New Roman" w:hAnsi="Times New Roman" w:cs="Times New Roman"/>
          <w:kern w:val="0"/>
          <w:sz w:val="28"/>
          <w:szCs w:val="28"/>
          <w:lang w:eastAsia="uk-UA"/>
          <w14:ligatures w14:val="none"/>
        </w:rPr>
        <w:t xml:space="preserve"> </w:t>
      </w:r>
    </w:p>
    <w:p w:rsidR="008513B9" w:rsidRPr="00D32F25"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 xml:space="preserve">Постанова Верховного Суду </w:t>
      </w:r>
      <w:r w:rsidRPr="00D32F25">
        <w:rPr>
          <w:rFonts w:ascii="Times New Roman" w:eastAsia="Times New Roman" w:hAnsi="Times New Roman" w:cs="Times New Roman"/>
          <w:bCs/>
          <w:kern w:val="0"/>
          <w:sz w:val="28"/>
          <w:szCs w:val="28"/>
          <w:lang w:eastAsia="uk-UA"/>
          <w14:ligatures w14:val="none"/>
        </w:rPr>
        <w:t>від 19</w:t>
      </w:r>
      <w:r w:rsidR="000649EC">
        <w:rPr>
          <w:rFonts w:ascii="Times New Roman" w:eastAsia="Times New Roman" w:hAnsi="Times New Roman" w:cs="Times New Roman"/>
          <w:bCs/>
          <w:kern w:val="0"/>
          <w:sz w:val="28"/>
          <w:szCs w:val="28"/>
          <w:lang w:eastAsia="uk-UA"/>
          <w14:ligatures w14:val="none"/>
        </w:rPr>
        <w:t>.11.</w:t>
      </w:r>
      <w:r w:rsidRPr="00D32F25">
        <w:rPr>
          <w:rFonts w:ascii="Times New Roman" w:eastAsia="Times New Roman" w:hAnsi="Times New Roman" w:cs="Times New Roman"/>
          <w:bCs/>
          <w:kern w:val="0"/>
          <w:sz w:val="28"/>
          <w:szCs w:val="28"/>
          <w:lang w:eastAsia="uk-UA"/>
          <w14:ligatures w14:val="none"/>
        </w:rPr>
        <w:t xml:space="preserve">2018 у справі № 820/1835/18. </w:t>
      </w:r>
      <w:r w:rsidRPr="00D32F25">
        <w:rPr>
          <w:rFonts w:ascii="Times New Roman" w:eastAsia="Times New Roman" w:hAnsi="Times New Roman" w:cs="Times New Roman"/>
          <w:kern w:val="0"/>
          <w:sz w:val="28"/>
          <w:szCs w:val="28"/>
          <w:lang w:eastAsia="uk-UA"/>
          <w14:ligatures w14:val="none"/>
        </w:rPr>
        <w:t xml:space="preserve">URL: </w:t>
      </w:r>
      <w:hyperlink r:id="rId28" w:history="1">
        <w:r w:rsidR="00DF0FC5" w:rsidRPr="00D32F25">
          <w:rPr>
            <w:rStyle w:val="a3"/>
            <w:rFonts w:ascii="Times New Roman" w:eastAsia="Times New Roman" w:hAnsi="Times New Roman" w:cs="Times New Roman"/>
            <w:kern w:val="0"/>
            <w:sz w:val="28"/>
            <w:szCs w:val="28"/>
            <w:lang w:eastAsia="uk-UA"/>
            <w14:ligatures w14:val="none"/>
          </w:rPr>
          <w:t>https://reyestr.court.gov.ua/Review/78026078</w:t>
        </w:r>
      </w:hyperlink>
      <w:r w:rsidR="00DF0FC5" w:rsidRPr="00D32F25">
        <w:rPr>
          <w:rFonts w:ascii="Times New Roman" w:eastAsia="Times New Roman" w:hAnsi="Times New Roman" w:cs="Times New Roman"/>
          <w:kern w:val="0"/>
          <w:sz w:val="28"/>
          <w:szCs w:val="28"/>
          <w:lang w:eastAsia="uk-UA"/>
          <w14:ligatures w14:val="none"/>
        </w:rPr>
        <w:t xml:space="preserve"> </w:t>
      </w:r>
    </w:p>
    <w:p w:rsidR="008513B9" w:rsidRPr="00D32F25"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 xml:space="preserve">Постанова Верховного Суду </w:t>
      </w:r>
      <w:r w:rsidRPr="00D32F25">
        <w:rPr>
          <w:rFonts w:ascii="Times New Roman" w:eastAsia="Times New Roman" w:hAnsi="Times New Roman" w:cs="Times New Roman"/>
          <w:bCs/>
          <w:kern w:val="0"/>
          <w:sz w:val="28"/>
          <w:szCs w:val="28"/>
          <w:lang w:eastAsia="uk-UA"/>
          <w14:ligatures w14:val="none"/>
        </w:rPr>
        <w:t>від 30</w:t>
      </w:r>
      <w:r w:rsidR="000649EC">
        <w:rPr>
          <w:rFonts w:ascii="Times New Roman" w:eastAsia="Times New Roman" w:hAnsi="Times New Roman" w:cs="Times New Roman"/>
          <w:bCs/>
          <w:kern w:val="0"/>
          <w:sz w:val="28"/>
          <w:szCs w:val="28"/>
          <w:lang w:eastAsia="uk-UA"/>
          <w14:ligatures w14:val="none"/>
        </w:rPr>
        <w:t>.01.</w:t>
      </w:r>
      <w:r w:rsidRPr="00D32F25">
        <w:rPr>
          <w:rFonts w:ascii="Times New Roman" w:eastAsia="Times New Roman" w:hAnsi="Times New Roman" w:cs="Times New Roman"/>
          <w:bCs/>
          <w:kern w:val="0"/>
          <w:sz w:val="28"/>
          <w:szCs w:val="28"/>
          <w:lang w:eastAsia="uk-UA"/>
          <w14:ligatures w14:val="none"/>
        </w:rPr>
        <w:t xml:space="preserve">2019 у справі № 820/4521/18. </w:t>
      </w:r>
      <w:r w:rsidRPr="00D32F25">
        <w:rPr>
          <w:rFonts w:ascii="Times New Roman" w:eastAsia="Times New Roman" w:hAnsi="Times New Roman" w:cs="Times New Roman"/>
          <w:kern w:val="0"/>
          <w:sz w:val="28"/>
          <w:szCs w:val="28"/>
          <w:lang w:eastAsia="uk-UA"/>
          <w14:ligatures w14:val="none"/>
        </w:rPr>
        <w:t xml:space="preserve">URL: </w:t>
      </w:r>
      <w:hyperlink r:id="rId29" w:history="1">
        <w:r w:rsidR="00DF0FC5" w:rsidRPr="00D32F25">
          <w:rPr>
            <w:rStyle w:val="a3"/>
            <w:rFonts w:ascii="Times New Roman" w:eastAsia="Times New Roman" w:hAnsi="Times New Roman" w:cs="Times New Roman"/>
            <w:kern w:val="0"/>
            <w:sz w:val="28"/>
            <w:szCs w:val="28"/>
            <w:lang w:eastAsia="uk-UA"/>
            <w14:ligatures w14:val="none"/>
          </w:rPr>
          <w:t>https://reyestr.court.gov.ua/Review/79557048</w:t>
        </w:r>
      </w:hyperlink>
      <w:r w:rsidR="00DF0FC5" w:rsidRPr="00D32F25">
        <w:rPr>
          <w:rFonts w:ascii="Times New Roman" w:eastAsia="Times New Roman" w:hAnsi="Times New Roman" w:cs="Times New Roman"/>
          <w:kern w:val="0"/>
          <w:sz w:val="28"/>
          <w:szCs w:val="28"/>
          <w:lang w:eastAsia="uk-UA"/>
          <w14:ligatures w14:val="none"/>
        </w:rPr>
        <w:t xml:space="preserve"> </w:t>
      </w:r>
    </w:p>
    <w:p w:rsidR="008513B9" w:rsidRPr="00D32F25"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 xml:space="preserve">Постанова Верховного Суду </w:t>
      </w:r>
      <w:r w:rsidRPr="00D32F25">
        <w:rPr>
          <w:rFonts w:ascii="Times New Roman" w:eastAsia="Times New Roman" w:hAnsi="Times New Roman" w:cs="Times New Roman"/>
          <w:bCs/>
          <w:kern w:val="0"/>
          <w:sz w:val="28"/>
          <w:szCs w:val="28"/>
          <w:lang w:eastAsia="uk-UA"/>
          <w14:ligatures w14:val="none"/>
        </w:rPr>
        <w:t>від 30</w:t>
      </w:r>
      <w:r w:rsidR="000649EC">
        <w:rPr>
          <w:rFonts w:ascii="Times New Roman" w:eastAsia="Times New Roman" w:hAnsi="Times New Roman" w:cs="Times New Roman"/>
          <w:bCs/>
          <w:kern w:val="0"/>
          <w:sz w:val="28"/>
          <w:szCs w:val="28"/>
          <w:lang w:eastAsia="uk-UA"/>
          <w14:ligatures w14:val="none"/>
        </w:rPr>
        <w:t>.03.</w:t>
      </w:r>
      <w:r w:rsidRPr="00D32F25">
        <w:rPr>
          <w:rFonts w:ascii="Times New Roman" w:eastAsia="Times New Roman" w:hAnsi="Times New Roman" w:cs="Times New Roman"/>
          <w:bCs/>
          <w:kern w:val="0"/>
          <w:sz w:val="28"/>
          <w:szCs w:val="28"/>
          <w:lang w:eastAsia="uk-UA"/>
          <w14:ligatures w14:val="none"/>
        </w:rPr>
        <w:t xml:space="preserve">2020 у справі № 820/1645/18. </w:t>
      </w:r>
      <w:r w:rsidRPr="00D32F25">
        <w:rPr>
          <w:rFonts w:ascii="Times New Roman" w:eastAsia="Times New Roman" w:hAnsi="Times New Roman" w:cs="Times New Roman"/>
          <w:kern w:val="0"/>
          <w:sz w:val="28"/>
          <w:szCs w:val="28"/>
          <w:lang w:eastAsia="uk-UA"/>
          <w14:ligatures w14:val="none"/>
        </w:rPr>
        <w:t xml:space="preserve">URL: </w:t>
      </w:r>
      <w:hyperlink r:id="rId30" w:history="1">
        <w:r w:rsidR="00DF0FC5" w:rsidRPr="00D32F25">
          <w:rPr>
            <w:rStyle w:val="a3"/>
            <w:rFonts w:ascii="Times New Roman" w:eastAsia="Times New Roman" w:hAnsi="Times New Roman" w:cs="Times New Roman"/>
            <w:kern w:val="0"/>
            <w:sz w:val="28"/>
            <w:szCs w:val="28"/>
            <w:lang w:eastAsia="uk-UA"/>
            <w14:ligatures w14:val="none"/>
          </w:rPr>
          <w:t>https://reyestr.court.gov.ua/Review/88495269</w:t>
        </w:r>
      </w:hyperlink>
      <w:r w:rsidR="00DF0FC5" w:rsidRPr="00D32F25">
        <w:rPr>
          <w:rFonts w:ascii="Times New Roman" w:eastAsia="Times New Roman" w:hAnsi="Times New Roman" w:cs="Times New Roman"/>
          <w:kern w:val="0"/>
          <w:sz w:val="28"/>
          <w:szCs w:val="28"/>
          <w:lang w:eastAsia="uk-UA"/>
          <w14:ligatures w14:val="none"/>
        </w:rPr>
        <w:t xml:space="preserve"> </w:t>
      </w:r>
    </w:p>
    <w:p w:rsidR="003154FD" w:rsidRPr="00D32F25" w:rsidRDefault="008513B9" w:rsidP="003154FD">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 xml:space="preserve">Про судовий збір: Закон України від 08.07.2011 № 3674-VI. URL: </w:t>
      </w:r>
      <w:hyperlink r:id="rId31" w:anchor="Text" w:history="1">
        <w:r w:rsidR="00DF0FC5" w:rsidRPr="00D32F25">
          <w:rPr>
            <w:rStyle w:val="a3"/>
            <w:rFonts w:ascii="Times New Roman" w:eastAsia="Times New Roman" w:hAnsi="Times New Roman" w:cs="Times New Roman"/>
            <w:kern w:val="0"/>
            <w:sz w:val="28"/>
            <w:szCs w:val="28"/>
            <w:lang w:eastAsia="uk-UA"/>
            <w14:ligatures w14:val="none"/>
          </w:rPr>
          <w:t>https://zakon.rada.gov.ua/laws/show/3674-17#Text</w:t>
        </w:r>
      </w:hyperlink>
      <w:r w:rsidR="00DF0FC5" w:rsidRPr="00D32F25">
        <w:rPr>
          <w:rFonts w:ascii="Times New Roman" w:eastAsia="Times New Roman" w:hAnsi="Times New Roman" w:cs="Times New Roman"/>
          <w:kern w:val="0"/>
          <w:sz w:val="28"/>
          <w:szCs w:val="28"/>
          <w:lang w:eastAsia="uk-UA"/>
          <w14:ligatures w14:val="none"/>
        </w:rPr>
        <w:t xml:space="preserve"> </w:t>
      </w:r>
    </w:p>
    <w:p w:rsidR="008513B9" w:rsidRPr="00D32F25" w:rsidRDefault="008513B9" w:rsidP="003154FD">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Берназюк Я</w:t>
      </w:r>
      <w:r w:rsidR="00D32F25" w:rsidRPr="00D32F25">
        <w:rPr>
          <w:rFonts w:ascii="Times New Roman" w:eastAsia="Times New Roman" w:hAnsi="Times New Roman" w:cs="Times New Roman"/>
          <w:kern w:val="0"/>
          <w:sz w:val="28"/>
          <w:szCs w:val="28"/>
          <w:lang w:eastAsia="uk-UA"/>
          <w14:ligatures w14:val="none"/>
        </w:rPr>
        <w:t>н</w:t>
      </w:r>
      <w:r w:rsidRPr="00D32F25">
        <w:rPr>
          <w:rFonts w:ascii="Times New Roman" w:eastAsia="Times New Roman" w:hAnsi="Times New Roman" w:cs="Times New Roman"/>
          <w:kern w:val="0"/>
          <w:sz w:val="28"/>
          <w:szCs w:val="28"/>
          <w:lang w:eastAsia="uk-UA"/>
          <w14:ligatures w14:val="none"/>
        </w:rPr>
        <w:t xml:space="preserve">. Судовий збір (court fees): конституційна гарантія незалежності суду чи перешкода у доступі до правосуддя? </w:t>
      </w:r>
      <w:r w:rsidRPr="00D32F25">
        <w:rPr>
          <w:rFonts w:ascii="Times New Roman" w:eastAsia="Times New Roman" w:hAnsi="Times New Roman" w:cs="Times New Roman"/>
          <w:iCs/>
          <w:kern w:val="0"/>
          <w:sz w:val="28"/>
          <w:szCs w:val="28"/>
          <w:lang w:eastAsia="uk-UA"/>
          <w14:ligatures w14:val="none"/>
        </w:rPr>
        <w:t>Constitutionalist.</w:t>
      </w:r>
      <w:r w:rsidRPr="00D32F25">
        <w:rPr>
          <w:rFonts w:ascii="Times New Roman" w:eastAsia="Times New Roman" w:hAnsi="Times New Roman" w:cs="Times New Roman"/>
          <w:kern w:val="0"/>
          <w:sz w:val="28"/>
          <w:szCs w:val="28"/>
          <w:lang w:eastAsia="uk-UA"/>
          <w14:ligatures w14:val="none"/>
        </w:rPr>
        <w:t xml:space="preserve"> 2023. 88 с.</w:t>
      </w:r>
      <w:r w:rsidR="003154FD" w:rsidRPr="00D32F25">
        <w:rPr>
          <w:rFonts w:ascii="Times New Roman" w:eastAsia="Times New Roman" w:hAnsi="Times New Roman" w:cs="Times New Roman"/>
          <w:kern w:val="0"/>
          <w:sz w:val="28"/>
          <w:szCs w:val="28"/>
          <w:lang w:eastAsia="uk-UA"/>
          <w14:ligatures w14:val="none"/>
        </w:rPr>
        <w:t xml:space="preserve"> URL: </w:t>
      </w:r>
      <w:hyperlink r:id="rId32" w:history="1">
        <w:r w:rsidR="003154FD" w:rsidRPr="00D32F25">
          <w:rPr>
            <w:rStyle w:val="a3"/>
            <w:rFonts w:ascii="Times New Roman" w:eastAsia="Times New Roman" w:hAnsi="Times New Roman" w:cs="Times New Roman"/>
            <w:kern w:val="0"/>
            <w:sz w:val="28"/>
            <w:szCs w:val="28"/>
            <w:lang w:eastAsia="uk-UA"/>
            <w14:ligatures w14:val="none"/>
          </w:rPr>
          <w:t>https://constitutionalist.com.ua/sudovyj-zbir-court-fees-konstytutsijna-harantiia-nezalezhnosti-sudu-chy-pereshkoda-u-dostupi-do-pravosuddia-2</w:t>
        </w:r>
      </w:hyperlink>
      <w:r w:rsidR="003154FD" w:rsidRPr="00D32F25">
        <w:rPr>
          <w:rFonts w:ascii="Times New Roman" w:eastAsia="Times New Roman" w:hAnsi="Times New Roman" w:cs="Times New Roman"/>
          <w:kern w:val="0"/>
          <w:sz w:val="28"/>
          <w:szCs w:val="28"/>
          <w:lang w:eastAsia="uk-UA"/>
          <w14:ligatures w14:val="none"/>
        </w:rPr>
        <w:t xml:space="preserve"> </w:t>
      </w:r>
    </w:p>
    <w:p w:rsidR="008513B9" w:rsidRPr="00D32F25"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 xml:space="preserve">Рішення Конституційного Суду України від 13.12.2011 № 17-рп/2011. URL: </w:t>
      </w:r>
      <w:hyperlink r:id="rId33" w:anchor="Text" w:history="1">
        <w:r w:rsidR="00DF0FC5" w:rsidRPr="00D32F25">
          <w:rPr>
            <w:rStyle w:val="a3"/>
            <w:rFonts w:ascii="Times New Roman" w:eastAsia="Times New Roman" w:hAnsi="Times New Roman" w:cs="Times New Roman"/>
            <w:kern w:val="0"/>
            <w:sz w:val="28"/>
            <w:szCs w:val="28"/>
            <w:lang w:eastAsia="uk-UA"/>
            <w14:ligatures w14:val="none"/>
          </w:rPr>
          <w:t>https://zakon.rada.gov.ua/laws/show/v017p710-11#Text</w:t>
        </w:r>
      </w:hyperlink>
      <w:r w:rsidR="00DF0FC5" w:rsidRPr="00D32F25">
        <w:rPr>
          <w:rFonts w:ascii="Times New Roman" w:eastAsia="Times New Roman" w:hAnsi="Times New Roman" w:cs="Times New Roman"/>
          <w:kern w:val="0"/>
          <w:sz w:val="28"/>
          <w:szCs w:val="28"/>
          <w:lang w:eastAsia="uk-UA"/>
          <w14:ligatures w14:val="none"/>
        </w:rPr>
        <w:t xml:space="preserve"> </w:t>
      </w:r>
    </w:p>
    <w:p w:rsidR="008513B9" w:rsidRPr="00D32F25"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 xml:space="preserve">Рішення Конституційного Суду України від 06.09.2023 № 6-р(I)/2023. URL: </w:t>
      </w:r>
      <w:hyperlink r:id="rId34" w:anchor="Text" w:history="1">
        <w:r w:rsidR="00DF0FC5" w:rsidRPr="00D32F25">
          <w:rPr>
            <w:rStyle w:val="a3"/>
            <w:rFonts w:ascii="Times New Roman" w:eastAsia="Times New Roman" w:hAnsi="Times New Roman" w:cs="Times New Roman"/>
            <w:kern w:val="0"/>
            <w:sz w:val="28"/>
            <w:szCs w:val="28"/>
            <w:lang w:eastAsia="uk-UA"/>
            <w14:ligatures w14:val="none"/>
          </w:rPr>
          <w:t>https://zakon.rada.gov.ua/laws/show/v006p710-23#Text</w:t>
        </w:r>
      </w:hyperlink>
      <w:r w:rsidR="00DF0FC5" w:rsidRPr="00D32F25">
        <w:rPr>
          <w:rFonts w:ascii="Times New Roman" w:eastAsia="Times New Roman" w:hAnsi="Times New Roman" w:cs="Times New Roman"/>
          <w:kern w:val="0"/>
          <w:sz w:val="28"/>
          <w:szCs w:val="28"/>
          <w:lang w:eastAsia="uk-UA"/>
          <w14:ligatures w14:val="none"/>
        </w:rPr>
        <w:t xml:space="preserve"> </w:t>
      </w:r>
    </w:p>
    <w:p w:rsidR="008513B9" w:rsidRPr="00D32F25"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lastRenderedPageBreak/>
        <w:t>Рішення Конституційного Суду України від 28</w:t>
      </w:r>
      <w:r w:rsidR="000649EC">
        <w:rPr>
          <w:rFonts w:ascii="Times New Roman" w:eastAsia="Times New Roman" w:hAnsi="Times New Roman" w:cs="Times New Roman"/>
          <w:kern w:val="0"/>
          <w:sz w:val="28"/>
          <w:szCs w:val="28"/>
          <w:lang w:eastAsia="uk-UA"/>
          <w14:ligatures w14:val="none"/>
        </w:rPr>
        <w:t>.02.</w:t>
      </w:r>
      <w:r w:rsidRPr="00D32F25">
        <w:rPr>
          <w:rFonts w:ascii="Times New Roman" w:eastAsia="Times New Roman" w:hAnsi="Times New Roman" w:cs="Times New Roman"/>
          <w:kern w:val="0"/>
          <w:sz w:val="28"/>
          <w:szCs w:val="28"/>
          <w:lang w:eastAsia="uk-UA"/>
          <w14:ligatures w14:val="none"/>
        </w:rPr>
        <w:t xml:space="preserve">2018 № 2-р/2018. URL: </w:t>
      </w:r>
      <w:hyperlink r:id="rId35" w:anchor="Text" w:history="1">
        <w:r w:rsidR="00DF0FC5" w:rsidRPr="00D32F25">
          <w:rPr>
            <w:rStyle w:val="a3"/>
            <w:rFonts w:ascii="Times New Roman" w:eastAsia="Times New Roman" w:hAnsi="Times New Roman" w:cs="Times New Roman"/>
            <w:kern w:val="0"/>
            <w:sz w:val="28"/>
            <w:szCs w:val="28"/>
            <w:lang w:eastAsia="uk-UA"/>
            <w14:ligatures w14:val="none"/>
          </w:rPr>
          <w:t>https://zakon.rada.gov.ua/laws/show/v002p710-18#Text</w:t>
        </w:r>
      </w:hyperlink>
      <w:r w:rsidR="00DF0FC5" w:rsidRPr="00D32F25">
        <w:rPr>
          <w:rFonts w:ascii="Times New Roman" w:eastAsia="Times New Roman" w:hAnsi="Times New Roman" w:cs="Times New Roman"/>
          <w:kern w:val="0"/>
          <w:sz w:val="28"/>
          <w:szCs w:val="28"/>
          <w:lang w:eastAsia="uk-UA"/>
          <w14:ligatures w14:val="none"/>
        </w:rPr>
        <w:t xml:space="preserve"> </w:t>
      </w:r>
    </w:p>
    <w:p w:rsidR="008513B9" w:rsidRPr="00D32F25"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 xml:space="preserve">Рішення Конституційного Суду України від 07.11.2018 № 9-р/2018. URL: </w:t>
      </w:r>
      <w:hyperlink r:id="rId36" w:anchor="Text" w:history="1">
        <w:r w:rsidR="003C261C" w:rsidRPr="00D32F25">
          <w:rPr>
            <w:rStyle w:val="a3"/>
            <w:rFonts w:ascii="Times New Roman" w:eastAsia="Times New Roman" w:hAnsi="Times New Roman" w:cs="Times New Roman"/>
            <w:kern w:val="0"/>
            <w:sz w:val="28"/>
            <w:szCs w:val="28"/>
            <w:lang w:eastAsia="uk-UA"/>
            <w14:ligatures w14:val="none"/>
          </w:rPr>
          <w:t>https://zakon.rada.gov.ua/laws/show/v009p710-18#Text</w:t>
        </w:r>
      </w:hyperlink>
      <w:r w:rsidR="003C261C" w:rsidRPr="00D32F25">
        <w:rPr>
          <w:rFonts w:ascii="Times New Roman" w:eastAsia="Times New Roman" w:hAnsi="Times New Roman" w:cs="Times New Roman"/>
          <w:kern w:val="0"/>
          <w:sz w:val="28"/>
          <w:szCs w:val="28"/>
          <w:lang w:eastAsia="uk-UA"/>
          <w14:ligatures w14:val="none"/>
        </w:rPr>
        <w:t xml:space="preserve"> </w:t>
      </w:r>
      <w:r w:rsidRPr="00D32F25">
        <w:rPr>
          <w:rFonts w:ascii="Times New Roman" w:eastAsia="Times New Roman" w:hAnsi="Times New Roman" w:cs="Times New Roman"/>
          <w:kern w:val="0"/>
          <w:sz w:val="28"/>
          <w:szCs w:val="28"/>
          <w:lang w:eastAsia="uk-UA"/>
          <w14:ligatures w14:val="none"/>
        </w:rPr>
        <w:t>.</w:t>
      </w:r>
    </w:p>
    <w:p w:rsidR="008513B9" w:rsidRPr="00D32F25"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Рішення Конституційного Суду України від 23.12.2022 № 3-р/2022. URL: https://zakon.rada.gov.ua/laws/show/va03p710-22#Text</w:t>
      </w:r>
    </w:p>
    <w:p w:rsidR="008513B9" w:rsidRPr="00D32F25"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 xml:space="preserve">Рішення Конституційного Суду України від 12.10.2022 № 8-р(I)/2022. URL: </w:t>
      </w:r>
      <w:hyperlink r:id="rId37" w:anchor="Text" w:history="1">
        <w:r w:rsidR="003154FD" w:rsidRPr="00D32F25">
          <w:rPr>
            <w:rStyle w:val="a3"/>
            <w:rFonts w:ascii="Times New Roman" w:eastAsia="Times New Roman" w:hAnsi="Times New Roman" w:cs="Times New Roman"/>
            <w:kern w:val="0"/>
            <w:sz w:val="28"/>
            <w:szCs w:val="28"/>
            <w:lang w:eastAsia="uk-UA"/>
            <w14:ligatures w14:val="none"/>
          </w:rPr>
          <w:t>https://zakon.rada.gov.ua/laws/show/v008p710-22#Text</w:t>
        </w:r>
      </w:hyperlink>
      <w:r w:rsidR="003154FD" w:rsidRPr="00D32F25">
        <w:rPr>
          <w:rFonts w:ascii="Times New Roman" w:eastAsia="Times New Roman" w:hAnsi="Times New Roman" w:cs="Times New Roman"/>
          <w:kern w:val="0"/>
          <w:sz w:val="28"/>
          <w:szCs w:val="28"/>
          <w:lang w:eastAsia="uk-UA"/>
          <w14:ligatures w14:val="none"/>
        </w:rPr>
        <w:t xml:space="preserve"> </w:t>
      </w:r>
    </w:p>
    <w:p w:rsidR="008513B9" w:rsidRPr="00D32F25"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Постанова Великої Палати Верховного Суду від 21</w:t>
      </w:r>
      <w:r w:rsidR="000649EC">
        <w:rPr>
          <w:rFonts w:ascii="Times New Roman" w:eastAsia="Times New Roman" w:hAnsi="Times New Roman" w:cs="Times New Roman"/>
          <w:kern w:val="0"/>
          <w:sz w:val="28"/>
          <w:szCs w:val="28"/>
          <w:lang w:eastAsia="uk-UA"/>
          <w14:ligatures w14:val="none"/>
        </w:rPr>
        <w:t>.09.</w:t>
      </w:r>
      <w:r w:rsidRPr="00D32F25">
        <w:rPr>
          <w:rFonts w:ascii="Times New Roman" w:eastAsia="Times New Roman" w:hAnsi="Times New Roman" w:cs="Times New Roman"/>
          <w:kern w:val="0"/>
          <w:sz w:val="28"/>
          <w:szCs w:val="28"/>
          <w:lang w:eastAsia="uk-UA"/>
          <w14:ligatures w14:val="none"/>
        </w:rPr>
        <w:t xml:space="preserve">2021 у справі № 910/10374/17. URL: </w:t>
      </w:r>
      <w:hyperlink r:id="rId38" w:history="1">
        <w:r w:rsidR="003154FD" w:rsidRPr="00D32F25">
          <w:rPr>
            <w:rStyle w:val="a3"/>
            <w:rFonts w:ascii="Times New Roman" w:eastAsia="Times New Roman" w:hAnsi="Times New Roman" w:cs="Times New Roman"/>
            <w:kern w:val="0"/>
            <w:sz w:val="28"/>
            <w:szCs w:val="28"/>
            <w:lang w:eastAsia="uk-UA"/>
            <w14:ligatures w14:val="none"/>
          </w:rPr>
          <w:t>https://reyestr.court.gov.ua/Review/100428590</w:t>
        </w:r>
      </w:hyperlink>
      <w:r w:rsidR="003154FD" w:rsidRPr="00D32F25">
        <w:rPr>
          <w:rFonts w:ascii="Times New Roman" w:eastAsia="Times New Roman" w:hAnsi="Times New Roman" w:cs="Times New Roman"/>
          <w:kern w:val="0"/>
          <w:sz w:val="28"/>
          <w:szCs w:val="28"/>
          <w:lang w:eastAsia="uk-UA"/>
          <w14:ligatures w14:val="none"/>
        </w:rPr>
        <w:t xml:space="preserve"> </w:t>
      </w:r>
    </w:p>
    <w:p w:rsidR="008513B9" w:rsidRPr="00D32F25"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Постанова Великої Палати Верховного Суду від 16</w:t>
      </w:r>
      <w:r w:rsidR="000649EC">
        <w:rPr>
          <w:rFonts w:ascii="Times New Roman" w:eastAsia="Times New Roman" w:hAnsi="Times New Roman" w:cs="Times New Roman"/>
          <w:kern w:val="0"/>
          <w:sz w:val="28"/>
          <w:szCs w:val="28"/>
          <w:lang w:eastAsia="uk-UA"/>
          <w14:ligatures w14:val="none"/>
        </w:rPr>
        <w:t>.07.</w:t>
      </w:r>
      <w:r w:rsidRPr="00D32F25">
        <w:rPr>
          <w:rFonts w:ascii="Times New Roman" w:eastAsia="Times New Roman" w:hAnsi="Times New Roman" w:cs="Times New Roman"/>
          <w:kern w:val="0"/>
          <w:sz w:val="28"/>
          <w:szCs w:val="28"/>
          <w:lang w:eastAsia="uk-UA"/>
          <w14:ligatures w14:val="none"/>
        </w:rPr>
        <w:t xml:space="preserve">2022 у справі № 160/3364/19. URL: </w:t>
      </w:r>
      <w:hyperlink r:id="rId39" w:history="1">
        <w:r w:rsidR="003C261C" w:rsidRPr="00D32F25">
          <w:rPr>
            <w:rStyle w:val="a3"/>
            <w:rFonts w:ascii="Times New Roman" w:eastAsia="Times New Roman" w:hAnsi="Times New Roman" w:cs="Times New Roman"/>
            <w:kern w:val="0"/>
            <w:sz w:val="28"/>
            <w:szCs w:val="28"/>
            <w:lang w:eastAsia="uk-UA"/>
            <w14:ligatures w14:val="none"/>
          </w:rPr>
          <w:t>https://reyestr.court.gov.ua/Review/105852864</w:t>
        </w:r>
      </w:hyperlink>
    </w:p>
    <w:p w:rsidR="008513B9" w:rsidRPr="00D32F25"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Постанова Великої Палати Верховного Суду від 23</w:t>
      </w:r>
      <w:r w:rsidR="000649EC">
        <w:rPr>
          <w:rFonts w:ascii="Times New Roman" w:eastAsia="Times New Roman" w:hAnsi="Times New Roman" w:cs="Times New Roman"/>
          <w:kern w:val="0"/>
          <w:sz w:val="28"/>
          <w:szCs w:val="28"/>
          <w:lang w:eastAsia="uk-UA"/>
          <w14:ligatures w14:val="none"/>
        </w:rPr>
        <w:t>.10.</w:t>
      </w:r>
      <w:r w:rsidRPr="00D32F25">
        <w:rPr>
          <w:rFonts w:ascii="Times New Roman" w:eastAsia="Times New Roman" w:hAnsi="Times New Roman" w:cs="Times New Roman"/>
          <w:kern w:val="0"/>
          <w:sz w:val="28"/>
          <w:szCs w:val="28"/>
          <w:lang w:eastAsia="uk-UA"/>
          <w14:ligatures w14:val="none"/>
        </w:rPr>
        <w:t xml:space="preserve">2023 у справі № 825/506/18. URL: </w:t>
      </w:r>
      <w:hyperlink r:id="rId40" w:history="1">
        <w:r w:rsidR="003154FD" w:rsidRPr="00D32F25">
          <w:rPr>
            <w:rStyle w:val="a3"/>
            <w:rFonts w:ascii="Times New Roman" w:eastAsia="Times New Roman" w:hAnsi="Times New Roman" w:cs="Times New Roman"/>
            <w:kern w:val="0"/>
            <w:sz w:val="28"/>
            <w:szCs w:val="28"/>
            <w:lang w:eastAsia="uk-UA"/>
            <w14:ligatures w14:val="none"/>
          </w:rPr>
          <w:t>https://reyestr.court.gov.ua/Review/85776329</w:t>
        </w:r>
      </w:hyperlink>
      <w:r w:rsidR="003154FD" w:rsidRPr="00D32F25">
        <w:rPr>
          <w:rFonts w:ascii="Times New Roman" w:eastAsia="Times New Roman" w:hAnsi="Times New Roman" w:cs="Times New Roman"/>
          <w:kern w:val="0"/>
          <w:sz w:val="28"/>
          <w:szCs w:val="28"/>
          <w:lang w:eastAsia="uk-UA"/>
          <w14:ligatures w14:val="none"/>
        </w:rPr>
        <w:t xml:space="preserve"> </w:t>
      </w:r>
    </w:p>
    <w:p w:rsidR="008513B9" w:rsidRPr="00D32F25"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Постанова Великої Палати Верховного Суду від 20</w:t>
      </w:r>
      <w:r w:rsidR="000649EC">
        <w:rPr>
          <w:rFonts w:ascii="Times New Roman" w:eastAsia="Times New Roman" w:hAnsi="Times New Roman" w:cs="Times New Roman"/>
          <w:kern w:val="0"/>
          <w:sz w:val="28"/>
          <w:szCs w:val="28"/>
          <w:lang w:eastAsia="uk-UA"/>
          <w14:ligatures w14:val="none"/>
        </w:rPr>
        <w:t>.01.</w:t>
      </w:r>
      <w:r w:rsidRPr="00D32F25">
        <w:rPr>
          <w:rFonts w:ascii="Times New Roman" w:eastAsia="Times New Roman" w:hAnsi="Times New Roman" w:cs="Times New Roman"/>
          <w:kern w:val="0"/>
          <w:sz w:val="28"/>
          <w:szCs w:val="28"/>
          <w:lang w:eastAsia="uk-UA"/>
          <w14:ligatures w14:val="none"/>
        </w:rPr>
        <w:t xml:space="preserve">2021 у справі № 800/162/14. URL: </w:t>
      </w:r>
      <w:hyperlink r:id="rId41" w:history="1">
        <w:r w:rsidR="003154FD" w:rsidRPr="00D32F25">
          <w:rPr>
            <w:rStyle w:val="a3"/>
            <w:rFonts w:ascii="Times New Roman" w:eastAsia="Times New Roman" w:hAnsi="Times New Roman" w:cs="Times New Roman"/>
            <w:kern w:val="0"/>
            <w:sz w:val="28"/>
            <w:szCs w:val="28"/>
            <w:lang w:eastAsia="uk-UA"/>
            <w14:ligatures w14:val="none"/>
          </w:rPr>
          <w:t>https://reyestr.court.gov.ua/Review/96406949</w:t>
        </w:r>
      </w:hyperlink>
      <w:r w:rsidR="003154FD" w:rsidRPr="00D32F25">
        <w:rPr>
          <w:rFonts w:ascii="Times New Roman" w:eastAsia="Times New Roman" w:hAnsi="Times New Roman" w:cs="Times New Roman"/>
          <w:kern w:val="0"/>
          <w:sz w:val="28"/>
          <w:szCs w:val="28"/>
          <w:lang w:eastAsia="uk-UA"/>
          <w14:ligatures w14:val="none"/>
        </w:rPr>
        <w:t xml:space="preserve"> </w:t>
      </w:r>
    </w:p>
    <w:p w:rsidR="008513B9" w:rsidRPr="00D32F25"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 xml:space="preserve">Про надання консультативного висновку до законопроєкту № 3730: рішення Вищої ради правосуддя від </w:t>
      </w:r>
      <w:r w:rsidR="000649EC">
        <w:rPr>
          <w:rFonts w:ascii="Times New Roman" w:eastAsia="Times New Roman" w:hAnsi="Times New Roman" w:cs="Times New Roman"/>
          <w:kern w:val="0"/>
          <w:sz w:val="28"/>
          <w:szCs w:val="28"/>
          <w:lang w:eastAsia="uk-UA"/>
          <w14:ligatures w14:val="none"/>
        </w:rPr>
        <w:t>0</w:t>
      </w:r>
      <w:r w:rsidRPr="00D32F25">
        <w:rPr>
          <w:rFonts w:ascii="Times New Roman" w:eastAsia="Times New Roman" w:hAnsi="Times New Roman" w:cs="Times New Roman"/>
          <w:kern w:val="0"/>
          <w:sz w:val="28"/>
          <w:szCs w:val="28"/>
          <w:lang w:eastAsia="uk-UA"/>
          <w14:ligatures w14:val="none"/>
        </w:rPr>
        <w:t>9</w:t>
      </w:r>
      <w:r w:rsidR="000649EC">
        <w:rPr>
          <w:rFonts w:ascii="Times New Roman" w:eastAsia="Times New Roman" w:hAnsi="Times New Roman" w:cs="Times New Roman"/>
          <w:kern w:val="0"/>
          <w:sz w:val="28"/>
          <w:szCs w:val="28"/>
          <w:lang w:eastAsia="uk-UA"/>
          <w14:ligatures w14:val="none"/>
        </w:rPr>
        <w:t>.07.</w:t>
      </w:r>
      <w:r w:rsidRPr="00D32F25">
        <w:rPr>
          <w:rFonts w:ascii="Times New Roman" w:eastAsia="Times New Roman" w:hAnsi="Times New Roman" w:cs="Times New Roman"/>
          <w:kern w:val="0"/>
          <w:sz w:val="28"/>
          <w:szCs w:val="28"/>
          <w:lang w:eastAsia="uk-UA"/>
          <w14:ligatures w14:val="none"/>
        </w:rPr>
        <w:t xml:space="preserve">2020 № 2075/0/15-20. URL: </w:t>
      </w:r>
      <w:hyperlink r:id="rId42" w:history="1">
        <w:r w:rsidR="00DF0FC5" w:rsidRPr="00D32F25">
          <w:rPr>
            <w:rStyle w:val="a3"/>
            <w:rFonts w:ascii="Times New Roman" w:eastAsia="Times New Roman" w:hAnsi="Times New Roman" w:cs="Times New Roman"/>
            <w:kern w:val="0"/>
            <w:sz w:val="28"/>
            <w:szCs w:val="28"/>
            <w:lang w:eastAsia="uk-UA"/>
            <w14:ligatures w14:val="none"/>
          </w:rPr>
          <w:t>https://hcj.gov.ua/doc/doc/398</w:t>
        </w:r>
      </w:hyperlink>
      <w:r w:rsidR="00DF0FC5" w:rsidRPr="00D32F25">
        <w:rPr>
          <w:rFonts w:ascii="Times New Roman" w:eastAsia="Times New Roman" w:hAnsi="Times New Roman" w:cs="Times New Roman"/>
          <w:kern w:val="0"/>
          <w:sz w:val="28"/>
          <w:szCs w:val="28"/>
          <w:lang w:eastAsia="uk-UA"/>
          <w14:ligatures w14:val="none"/>
        </w:rPr>
        <w:t xml:space="preserve"> </w:t>
      </w:r>
    </w:p>
    <w:p w:rsidR="008513B9" w:rsidRPr="00D32F25"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 xml:space="preserve">Ханова Р., Барікова А. Несплата єдиного внеску: звільнення від відповідальності. </w:t>
      </w:r>
      <w:r w:rsidRPr="00D32F25">
        <w:rPr>
          <w:rFonts w:ascii="Times New Roman" w:eastAsia="Times New Roman" w:hAnsi="Times New Roman" w:cs="Times New Roman"/>
          <w:iCs/>
          <w:kern w:val="0"/>
          <w:sz w:val="28"/>
          <w:szCs w:val="28"/>
          <w:lang w:eastAsia="uk-UA"/>
          <w14:ligatures w14:val="none"/>
        </w:rPr>
        <w:t>Судово-юридична газета</w:t>
      </w:r>
      <w:r w:rsidRPr="00D32F25">
        <w:rPr>
          <w:rFonts w:ascii="Times New Roman" w:eastAsia="Times New Roman" w:hAnsi="Times New Roman" w:cs="Times New Roman"/>
          <w:kern w:val="0"/>
          <w:sz w:val="28"/>
          <w:szCs w:val="28"/>
          <w:lang w:eastAsia="uk-UA"/>
          <w14:ligatures w14:val="none"/>
        </w:rPr>
        <w:t xml:space="preserve">. 2020. URL: </w:t>
      </w:r>
      <w:hyperlink r:id="rId43" w:history="1">
        <w:r w:rsidR="00DF0FC5" w:rsidRPr="00D32F25">
          <w:rPr>
            <w:rStyle w:val="a3"/>
            <w:rFonts w:ascii="Times New Roman" w:eastAsia="Times New Roman" w:hAnsi="Times New Roman" w:cs="Times New Roman"/>
            <w:kern w:val="0"/>
            <w:sz w:val="28"/>
            <w:szCs w:val="28"/>
            <w:lang w:eastAsia="uk-UA"/>
            <w14:ligatures w14:val="none"/>
          </w:rPr>
          <w:t>https://sud.ua/ru/news/blog/187456-nesplata-yedinogo-vnesku-zvilnennya-vid-vidpovidalnosti?fbclid=iwar2wndmk67pylqocyufxfkg7gcb1xvxbam0fs_x6ae_axtv8dtfb59ot9vo</w:t>
        </w:r>
      </w:hyperlink>
      <w:r w:rsidR="00DF0FC5" w:rsidRPr="00D32F25">
        <w:rPr>
          <w:rFonts w:ascii="Times New Roman" w:eastAsia="Times New Roman" w:hAnsi="Times New Roman" w:cs="Times New Roman"/>
          <w:kern w:val="0"/>
          <w:sz w:val="28"/>
          <w:szCs w:val="28"/>
          <w:lang w:eastAsia="uk-UA"/>
          <w14:ligatures w14:val="none"/>
        </w:rPr>
        <w:t xml:space="preserve"> </w:t>
      </w:r>
    </w:p>
    <w:p w:rsidR="008513B9" w:rsidRPr="00D32F25"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Постанова Верховного Суду від 11</w:t>
      </w:r>
      <w:r w:rsidR="000649EC">
        <w:rPr>
          <w:rFonts w:ascii="Times New Roman" w:eastAsia="Times New Roman" w:hAnsi="Times New Roman" w:cs="Times New Roman"/>
          <w:kern w:val="0"/>
          <w:sz w:val="28"/>
          <w:szCs w:val="28"/>
          <w:lang w:eastAsia="uk-UA"/>
          <w14:ligatures w14:val="none"/>
        </w:rPr>
        <w:t>.09.</w:t>
      </w:r>
      <w:r w:rsidRPr="00D32F25">
        <w:rPr>
          <w:rFonts w:ascii="Times New Roman" w:eastAsia="Times New Roman" w:hAnsi="Times New Roman" w:cs="Times New Roman"/>
          <w:kern w:val="0"/>
          <w:sz w:val="28"/>
          <w:szCs w:val="28"/>
          <w:lang w:eastAsia="uk-UA"/>
          <w14:ligatures w14:val="none"/>
        </w:rPr>
        <w:t xml:space="preserve">2020 у справі № 200/2402/19-а. URL: </w:t>
      </w:r>
      <w:hyperlink r:id="rId44" w:history="1">
        <w:r w:rsidR="00DF0FC5" w:rsidRPr="00D32F25">
          <w:rPr>
            <w:rStyle w:val="a3"/>
            <w:rFonts w:ascii="Times New Roman" w:eastAsia="Times New Roman" w:hAnsi="Times New Roman" w:cs="Times New Roman"/>
            <w:kern w:val="0"/>
            <w:sz w:val="28"/>
            <w:szCs w:val="28"/>
            <w:lang w:eastAsia="uk-UA"/>
            <w14:ligatures w14:val="none"/>
          </w:rPr>
          <w:t>https://reyestr.court.gov.ua/Review/92334041</w:t>
        </w:r>
      </w:hyperlink>
      <w:r w:rsidR="00DF0FC5" w:rsidRPr="00D32F25">
        <w:rPr>
          <w:rFonts w:ascii="Times New Roman" w:eastAsia="Times New Roman" w:hAnsi="Times New Roman" w:cs="Times New Roman"/>
          <w:kern w:val="0"/>
          <w:sz w:val="28"/>
          <w:szCs w:val="28"/>
          <w:lang w:eastAsia="uk-UA"/>
          <w14:ligatures w14:val="none"/>
        </w:rPr>
        <w:t xml:space="preserve"> </w:t>
      </w:r>
    </w:p>
    <w:p w:rsidR="008513B9" w:rsidRPr="00D32F25"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Постанова Верховного Суду від 31</w:t>
      </w:r>
      <w:r w:rsidR="000649EC">
        <w:rPr>
          <w:rFonts w:ascii="Times New Roman" w:eastAsia="Times New Roman" w:hAnsi="Times New Roman" w:cs="Times New Roman"/>
          <w:kern w:val="0"/>
          <w:sz w:val="28"/>
          <w:szCs w:val="28"/>
          <w:lang w:eastAsia="uk-UA"/>
          <w14:ligatures w14:val="none"/>
        </w:rPr>
        <w:t>.05.</w:t>
      </w:r>
      <w:r w:rsidRPr="00D32F25">
        <w:rPr>
          <w:rFonts w:ascii="Times New Roman" w:eastAsia="Times New Roman" w:hAnsi="Times New Roman" w:cs="Times New Roman"/>
          <w:kern w:val="0"/>
          <w:sz w:val="28"/>
          <w:szCs w:val="28"/>
          <w:lang w:eastAsia="uk-UA"/>
          <w14:ligatures w14:val="none"/>
        </w:rPr>
        <w:t xml:space="preserve">2021 у справі № 640/8656/19. URL: </w:t>
      </w:r>
      <w:hyperlink r:id="rId45" w:history="1">
        <w:r w:rsidR="00DF0FC5" w:rsidRPr="00D32F25">
          <w:rPr>
            <w:rStyle w:val="a3"/>
            <w:rFonts w:ascii="Times New Roman" w:eastAsia="Times New Roman" w:hAnsi="Times New Roman" w:cs="Times New Roman"/>
            <w:kern w:val="0"/>
            <w:sz w:val="28"/>
            <w:szCs w:val="28"/>
            <w:lang w:eastAsia="uk-UA"/>
            <w14:ligatures w14:val="none"/>
          </w:rPr>
          <w:t>https://reyestr.court.gov.ua/Review/97284144</w:t>
        </w:r>
      </w:hyperlink>
      <w:r w:rsidR="00DF0FC5" w:rsidRPr="00D32F25">
        <w:rPr>
          <w:rFonts w:ascii="Times New Roman" w:eastAsia="Times New Roman" w:hAnsi="Times New Roman" w:cs="Times New Roman"/>
          <w:kern w:val="0"/>
          <w:sz w:val="28"/>
          <w:szCs w:val="28"/>
          <w:lang w:eastAsia="uk-UA"/>
          <w14:ligatures w14:val="none"/>
        </w:rPr>
        <w:t xml:space="preserve"> </w:t>
      </w:r>
    </w:p>
    <w:p w:rsidR="008513B9" w:rsidRPr="00D32F25"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Постанова Окружного адміністративного суду міста Києва від 27</w:t>
      </w:r>
      <w:r w:rsidR="000649EC">
        <w:rPr>
          <w:rFonts w:ascii="Times New Roman" w:eastAsia="Times New Roman" w:hAnsi="Times New Roman" w:cs="Times New Roman"/>
          <w:kern w:val="0"/>
          <w:sz w:val="28"/>
          <w:szCs w:val="28"/>
          <w:lang w:eastAsia="uk-UA"/>
          <w14:ligatures w14:val="none"/>
        </w:rPr>
        <w:t>.04.</w:t>
      </w:r>
      <w:r w:rsidRPr="00D32F25">
        <w:rPr>
          <w:rFonts w:ascii="Times New Roman" w:eastAsia="Times New Roman" w:hAnsi="Times New Roman" w:cs="Times New Roman"/>
          <w:kern w:val="0"/>
          <w:sz w:val="28"/>
          <w:szCs w:val="28"/>
          <w:lang w:eastAsia="uk-UA"/>
          <w14:ligatures w14:val="none"/>
        </w:rPr>
        <w:t xml:space="preserve">2016 у справі № 826/19156/15. URL: </w:t>
      </w:r>
      <w:hyperlink r:id="rId46" w:history="1">
        <w:r w:rsidR="00DF0FC5" w:rsidRPr="00D32F25">
          <w:rPr>
            <w:rStyle w:val="a3"/>
            <w:rFonts w:ascii="Times New Roman" w:eastAsia="Times New Roman" w:hAnsi="Times New Roman" w:cs="Times New Roman"/>
            <w:kern w:val="0"/>
            <w:sz w:val="28"/>
            <w:szCs w:val="28"/>
            <w:lang w:eastAsia="uk-UA"/>
            <w14:ligatures w14:val="none"/>
          </w:rPr>
          <w:t>https://reyestr.court.gov.ua/Review/57490109</w:t>
        </w:r>
      </w:hyperlink>
      <w:r w:rsidR="00DF0FC5" w:rsidRPr="00D32F25">
        <w:rPr>
          <w:rFonts w:ascii="Times New Roman" w:eastAsia="Times New Roman" w:hAnsi="Times New Roman" w:cs="Times New Roman"/>
          <w:kern w:val="0"/>
          <w:sz w:val="28"/>
          <w:szCs w:val="28"/>
          <w:lang w:eastAsia="uk-UA"/>
          <w14:ligatures w14:val="none"/>
        </w:rPr>
        <w:t xml:space="preserve"> </w:t>
      </w:r>
    </w:p>
    <w:p w:rsidR="008513B9" w:rsidRPr="00D32F25" w:rsidRDefault="000649EC"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lastRenderedPageBreak/>
        <w:t>Рішення О</w:t>
      </w:r>
      <w:r w:rsidR="008513B9" w:rsidRPr="00D32F25">
        <w:rPr>
          <w:rFonts w:ascii="Times New Roman" w:eastAsia="Times New Roman" w:hAnsi="Times New Roman" w:cs="Times New Roman"/>
          <w:kern w:val="0"/>
          <w:sz w:val="28"/>
          <w:szCs w:val="28"/>
          <w:lang w:eastAsia="uk-UA"/>
          <w14:ligatures w14:val="none"/>
        </w:rPr>
        <w:t>кружного адміністративного суду міста Києва від 18</w:t>
      </w:r>
      <w:r>
        <w:rPr>
          <w:rFonts w:ascii="Times New Roman" w:eastAsia="Times New Roman" w:hAnsi="Times New Roman" w:cs="Times New Roman"/>
          <w:kern w:val="0"/>
          <w:sz w:val="28"/>
          <w:szCs w:val="28"/>
          <w:lang w:eastAsia="uk-UA"/>
          <w14:ligatures w14:val="none"/>
        </w:rPr>
        <w:t>.09.</w:t>
      </w:r>
      <w:r w:rsidR="008513B9" w:rsidRPr="00D32F25">
        <w:rPr>
          <w:rFonts w:ascii="Times New Roman" w:eastAsia="Times New Roman" w:hAnsi="Times New Roman" w:cs="Times New Roman"/>
          <w:kern w:val="0"/>
          <w:sz w:val="28"/>
          <w:szCs w:val="28"/>
          <w:lang w:eastAsia="uk-UA"/>
          <w14:ligatures w14:val="none"/>
        </w:rPr>
        <w:t xml:space="preserve">2019 у справі № 640/22384/18. URL: </w:t>
      </w:r>
      <w:hyperlink r:id="rId47" w:history="1">
        <w:r w:rsidR="00DF0FC5" w:rsidRPr="00D32F25">
          <w:rPr>
            <w:rStyle w:val="a3"/>
            <w:rFonts w:ascii="Times New Roman" w:eastAsia="Times New Roman" w:hAnsi="Times New Roman" w:cs="Times New Roman"/>
            <w:kern w:val="0"/>
            <w:sz w:val="28"/>
            <w:szCs w:val="28"/>
            <w:lang w:eastAsia="uk-UA"/>
            <w14:ligatures w14:val="none"/>
          </w:rPr>
          <w:t>https://reyestr.court.gov.ua/Review/84329654</w:t>
        </w:r>
      </w:hyperlink>
      <w:r w:rsidR="00DF0FC5" w:rsidRPr="00D32F25">
        <w:rPr>
          <w:rFonts w:ascii="Times New Roman" w:eastAsia="Times New Roman" w:hAnsi="Times New Roman" w:cs="Times New Roman"/>
          <w:kern w:val="0"/>
          <w:sz w:val="28"/>
          <w:szCs w:val="28"/>
          <w:lang w:eastAsia="uk-UA"/>
          <w14:ligatures w14:val="none"/>
        </w:rPr>
        <w:t xml:space="preserve"> </w:t>
      </w:r>
    </w:p>
    <w:p w:rsidR="008513B9" w:rsidRPr="00D32F25"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 xml:space="preserve">Case of </w:t>
      </w:r>
      <w:r w:rsidRPr="00D32F25">
        <w:rPr>
          <w:rFonts w:ascii="Times New Roman" w:eastAsia="Times New Roman" w:hAnsi="Times New Roman" w:cs="Times New Roman"/>
          <w:bCs/>
          <w:kern w:val="0"/>
          <w:sz w:val="28"/>
          <w:szCs w:val="28"/>
          <w:lang w:eastAsia="uk-UA"/>
          <w14:ligatures w14:val="none"/>
        </w:rPr>
        <w:t>Hоpital local Saint-Pierre d’Oléron and Others v. France</w:t>
      </w:r>
      <w:r w:rsidRPr="00D32F25">
        <w:rPr>
          <w:rFonts w:ascii="Times New Roman" w:eastAsia="Times New Roman" w:hAnsi="Times New Roman" w:cs="Times New Roman"/>
          <w:kern w:val="0"/>
          <w:sz w:val="28"/>
          <w:szCs w:val="28"/>
          <w:lang w:eastAsia="uk-UA"/>
          <w14:ligatures w14:val="none"/>
        </w:rPr>
        <w:t xml:space="preserve">: Decision of the European Court of Human Rights, 08.02.2019, № </w:t>
      </w:r>
      <w:r w:rsidRPr="00D32F25">
        <w:rPr>
          <w:rFonts w:ascii="Times New Roman" w:eastAsia="Times New Roman" w:hAnsi="Times New Roman" w:cs="Times New Roman"/>
          <w:bCs/>
          <w:kern w:val="0"/>
          <w:sz w:val="28"/>
          <w:szCs w:val="28"/>
          <w:lang w:eastAsia="uk-UA"/>
          <w14:ligatures w14:val="none"/>
        </w:rPr>
        <w:t>18096/12</w:t>
      </w:r>
      <w:r w:rsidRPr="00D32F25">
        <w:rPr>
          <w:rFonts w:ascii="Times New Roman" w:eastAsia="Times New Roman" w:hAnsi="Times New Roman" w:cs="Times New Roman"/>
          <w:kern w:val="0"/>
          <w:sz w:val="28"/>
          <w:szCs w:val="28"/>
          <w:lang w:eastAsia="uk-UA"/>
          <w14:ligatures w14:val="none"/>
        </w:rPr>
        <w:t xml:space="preserve">. URL: </w:t>
      </w:r>
      <w:hyperlink r:id="rId48" w:anchor="{%22itemid%22:[%22001-187742%22]}" w:history="1">
        <w:r w:rsidR="00DF0FC5" w:rsidRPr="00D32F25">
          <w:rPr>
            <w:rStyle w:val="a3"/>
            <w:rFonts w:ascii="Times New Roman" w:eastAsia="Times New Roman" w:hAnsi="Times New Roman" w:cs="Times New Roman"/>
            <w:kern w:val="0"/>
            <w:sz w:val="28"/>
            <w:szCs w:val="28"/>
            <w:lang w:eastAsia="uk-UA"/>
            <w14:ligatures w14:val="none"/>
          </w:rPr>
          <w:t>https://hudoc.echr.coe.int/eng#{%22itemid%22:[%22001-187742%22]}</w:t>
        </w:r>
      </w:hyperlink>
      <w:r w:rsidR="00DF0FC5" w:rsidRPr="00D32F25">
        <w:rPr>
          <w:rFonts w:ascii="Times New Roman" w:eastAsia="Times New Roman" w:hAnsi="Times New Roman" w:cs="Times New Roman"/>
          <w:kern w:val="0"/>
          <w:sz w:val="28"/>
          <w:szCs w:val="28"/>
          <w:lang w:eastAsia="uk-UA"/>
          <w14:ligatures w14:val="none"/>
        </w:rPr>
        <w:t xml:space="preserve"> </w:t>
      </w:r>
    </w:p>
    <w:p w:rsidR="008513B9" w:rsidRPr="00D32F25"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 xml:space="preserve">Case of </w:t>
      </w:r>
      <w:r w:rsidRPr="00D32F25">
        <w:rPr>
          <w:rFonts w:ascii="Times New Roman" w:eastAsia="Times New Roman" w:hAnsi="Times New Roman" w:cs="Times New Roman"/>
          <w:bCs/>
          <w:kern w:val="0"/>
          <w:sz w:val="28"/>
          <w:szCs w:val="28"/>
          <w:lang w:eastAsia="uk-UA"/>
          <w14:ligatures w14:val="none"/>
        </w:rPr>
        <w:t>Ukrkava, TOV v. Ukraine</w:t>
      </w:r>
      <w:r w:rsidRPr="00D32F25">
        <w:rPr>
          <w:rFonts w:ascii="Times New Roman" w:eastAsia="Times New Roman" w:hAnsi="Times New Roman" w:cs="Times New Roman"/>
          <w:kern w:val="0"/>
          <w:sz w:val="28"/>
          <w:szCs w:val="28"/>
          <w:lang w:eastAsia="uk-UA"/>
          <w14:ligatures w14:val="none"/>
        </w:rPr>
        <w:t>: Decision of the E</w:t>
      </w:r>
      <w:r w:rsidR="000F44E0">
        <w:rPr>
          <w:rFonts w:ascii="Times New Roman" w:eastAsia="Times New Roman" w:hAnsi="Times New Roman" w:cs="Times New Roman"/>
          <w:kern w:val="0"/>
          <w:sz w:val="28"/>
          <w:szCs w:val="28"/>
          <w:lang w:eastAsia="uk-UA"/>
          <w14:ligatures w14:val="none"/>
        </w:rPr>
        <w:t>uropean Court of Human Rights, 06</w:t>
      </w:r>
      <w:r w:rsidRPr="00D32F25">
        <w:rPr>
          <w:rFonts w:ascii="Times New Roman" w:eastAsia="Times New Roman" w:hAnsi="Times New Roman" w:cs="Times New Roman"/>
          <w:kern w:val="0"/>
          <w:sz w:val="28"/>
          <w:szCs w:val="28"/>
          <w:lang w:eastAsia="uk-UA"/>
          <w14:ligatures w14:val="none"/>
        </w:rPr>
        <w:t>.0</w:t>
      </w:r>
      <w:r w:rsidR="000F44E0">
        <w:rPr>
          <w:rFonts w:ascii="Times New Roman" w:eastAsia="Times New Roman" w:hAnsi="Times New Roman" w:cs="Times New Roman"/>
          <w:kern w:val="0"/>
          <w:sz w:val="28"/>
          <w:szCs w:val="28"/>
          <w:lang w:eastAsia="uk-UA"/>
          <w14:ligatures w14:val="none"/>
        </w:rPr>
        <w:t>2</w:t>
      </w:r>
      <w:r w:rsidRPr="00D32F25">
        <w:rPr>
          <w:rFonts w:ascii="Times New Roman" w:eastAsia="Times New Roman" w:hAnsi="Times New Roman" w:cs="Times New Roman"/>
          <w:kern w:val="0"/>
          <w:sz w:val="28"/>
          <w:szCs w:val="28"/>
          <w:lang w:eastAsia="uk-UA"/>
          <w14:ligatures w14:val="none"/>
        </w:rPr>
        <w:t xml:space="preserve">.2025, № 10233/20. URL: </w:t>
      </w:r>
      <w:hyperlink r:id="rId49" w:anchor="{%22itemid%22:[%22001-241576%22]}" w:history="1">
        <w:r w:rsidR="00DF0FC5" w:rsidRPr="00D32F25">
          <w:rPr>
            <w:rStyle w:val="a3"/>
            <w:rFonts w:ascii="Times New Roman" w:eastAsia="Times New Roman" w:hAnsi="Times New Roman" w:cs="Times New Roman"/>
            <w:kern w:val="0"/>
            <w:sz w:val="28"/>
            <w:szCs w:val="28"/>
            <w:lang w:eastAsia="uk-UA"/>
            <w14:ligatures w14:val="none"/>
          </w:rPr>
          <w:t>https://hudoc.echr.coe.int/ukr#{%22itemid%22:[%22001-241576%22]}</w:t>
        </w:r>
      </w:hyperlink>
      <w:r w:rsidR="00DF0FC5" w:rsidRPr="00D32F25">
        <w:rPr>
          <w:rFonts w:ascii="Times New Roman" w:eastAsia="Times New Roman" w:hAnsi="Times New Roman" w:cs="Times New Roman"/>
          <w:kern w:val="0"/>
          <w:sz w:val="28"/>
          <w:szCs w:val="28"/>
          <w:lang w:eastAsia="uk-UA"/>
          <w14:ligatures w14:val="none"/>
        </w:rPr>
        <w:t xml:space="preserve"> </w:t>
      </w:r>
    </w:p>
    <w:p w:rsidR="00EE0B1B" w:rsidRPr="00D32F25" w:rsidRDefault="008513B9" w:rsidP="00EE0B1B">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 xml:space="preserve">Case of </w:t>
      </w:r>
      <w:r w:rsidRPr="00D32F25">
        <w:rPr>
          <w:rFonts w:ascii="Times New Roman" w:eastAsia="Times New Roman" w:hAnsi="Times New Roman" w:cs="Times New Roman"/>
          <w:bCs/>
          <w:kern w:val="0"/>
          <w:sz w:val="28"/>
          <w:szCs w:val="28"/>
          <w:lang w:eastAsia="uk-UA"/>
          <w14:ligatures w14:val="none"/>
        </w:rPr>
        <w:t>Svit rozvag, tov and others v. Ukraine</w:t>
      </w:r>
      <w:r w:rsidRPr="00D32F25">
        <w:rPr>
          <w:rFonts w:ascii="Times New Roman" w:eastAsia="Times New Roman" w:hAnsi="Times New Roman" w:cs="Times New Roman"/>
          <w:kern w:val="0"/>
          <w:sz w:val="28"/>
          <w:szCs w:val="28"/>
          <w:lang w:eastAsia="uk-UA"/>
          <w14:ligatures w14:val="none"/>
        </w:rPr>
        <w:t xml:space="preserve">: Decision of the European Court of Human Rights, 27.09.2019, № 13290/11 and 2 others. URL: </w:t>
      </w:r>
      <w:hyperlink r:id="rId50" w:anchor="{%22itemid%22:[%22001-193994%22]}" w:history="1">
        <w:r w:rsidR="00DF0FC5" w:rsidRPr="00D32F25">
          <w:rPr>
            <w:rStyle w:val="a3"/>
            <w:rFonts w:ascii="Times New Roman" w:eastAsia="Times New Roman" w:hAnsi="Times New Roman" w:cs="Times New Roman"/>
            <w:kern w:val="0"/>
            <w:sz w:val="28"/>
            <w:szCs w:val="28"/>
            <w:lang w:eastAsia="uk-UA"/>
            <w14:ligatures w14:val="none"/>
          </w:rPr>
          <w:t>https://hudoc.echr.coe.int/rus#{%22itemid%22:[%22001-193994%22]}</w:t>
        </w:r>
      </w:hyperlink>
      <w:r w:rsidR="00DF0FC5" w:rsidRPr="00D32F25">
        <w:rPr>
          <w:rFonts w:ascii="Times New Roman" w:eastAsia="Times New Roman" w:hAnsi="Times New Roman" w:cs="Times New Roman"/>
          <w:kern w:val="0"/>
          <w:sz w:val="28"/>
          <w:szCs w:val="28"/>
          <w:lang w:eastAsia="uk-UA"/>
          <w14:ligatures w14:val="none"/>
        </w:rPr>
        <w:t xml:space="preserve"> </w:t>
      </w:r>
    </w:p>
    <w:p w:rsidR="008513B9" w:rsidRPr="00D32F25" w:rsidRDefault="008513B9" w:rsidP="00EE0B1B">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Висновок щодо змін до законодавчих актів, які регулюють статус Верховного Суду та органів суддівського врядування, прийнятий на її 121-му пленарному засіданні (Венеція, 6-7</w:t>
      </w:r>
      <w:r w:rsidR="000649EC">
        <w:rPr>
          <w:rFonts w:ascii="Times New Roman" w:eastAsia="Times New Roman" w:hAnsi="Times New Roman" w:cs="Times New Roman"/>
          <w:kern w:val="0"/>
          <w:sz w:val="28"/>
          <w:szCs w:val="28"/>
          <w:lang w:eastAsia="uk-UA"/>
          <w14:ligatures w14:val="none"/>
        </w:rPr>
        <w:t>.12.</w:t>
      </w:r>
      <w:r w:rsidRPr="00D32F25">
        <w:rPr>
          <w:rFonts w:ascii="Times New Roman" w:eastAsia="Times New Roman" w:hAnsi="Times New Roman" w:cs="Times New Roman"/>
          <w:kern w:val="0"/>
          <w:sz w:val="28"/>
          <w:szCs w:val="28"/>
          <w:lang w:eastAsia="uk-UA"/>
          <w14:ligatures w14:val="none"/>
        </w:rPr>
        <w:t>2019</w:t>
      </w:r>
      <w:r w:rsidR="000649EC">
        <w:rPr>
          <w:rFonts w:ascii="Times New Roman" w:eastAsia="Times New Roman" w:hAnsi="Times New Roman" w:cs="Times New Roman"/>
          <w:kern w:val="0"/>
          <w:sz w:val="28"/>
          <w:szCs w:val="28"/>
          <w:lang w:eastAsia="uk-UA"/>
          <w14:ligatures w14:val="none"/>
        </w:rPr>
        <w:t>)</w:t>
      </w:r>
      <w:r w:rsidRPr="00D32F25">
        <w:rPr>
          <w:rFonts w:ascii="Times New Roman" w:eastAsia="Times New Roman" w:hAnsi="Times New Roman" w:cs="Times New Roman"/>
          <w:kern w:val="0"/>
          <w:sz w:val="28"/>
          <w:szCs w:val="28"/>
          <w:lang w:eastAsia="uk-UA"/>
          <w14:ligatures w14:val="none"/>
        </w:rPr>
        <w:t xml:space="preserve"> URL: </w:t>
      </w:r>
      <w:hyperlink r:id="rId51" w:history="1">
        <w:r w:rsidR="00EE0B1B" w:rsidRPr="00D32F25">
          <w:rPr>
            <w:rStyle w:val="a3"/>
            <w:rFonts w:ascii="Times New Roman" w:eastAsia="Times New Roman" w:hAnsi="Times New Roman" w:cs="Times New Roman"/>
            <w:kern w:val="0"/>
            <w:sz w:val="28"/>
            <w:szCs w:val="28"/>
            <w:lang w:eastAsia="uk-UA"/>
            <w14:ligatures w14:val="none"/>
          </w:rPr>
          <w:t>https://www.echr.com.ua/document/visnovok-shhodo-zmin-do-zakonodavchix-aktiv-yaki-regulyuyut-status-verxovnogo-sudu-ta-organiv-suddivskogo-vryaduvannya/</w:t>
        </w:r>
      </w:hyperlink>
      <w:r w:rsidR="00EE0B1B" w:rsidRPr="00D32F25">
        <w:rPr>
          <w:rFonts w:ascii="Times New Roman" w:eastAsia="Times New Roman" w:hAnsi="Times New Roman" w:cs="Times New Roman"/>
          <w:kern w:val="0"/>
          <w:sz w:val="28"/>
          <w:szCs w:val="28"/>
          <w:lang w:eastAsia="uk-UA"/>
          <w14:ligatures w14:val="none"/>
        </w:rPr>
        <w:t xml:space="preserve"> </w:t>
      </w:r>
      <w:r w:rsidR="00DF0FC5" w:rsidRPr="00D32F25">
        <w:rPr>
          <w:rFonts w:ascii="Times New Roman" w:eastAsia="Times New Roman" w:hAnsi="Times New Roman" w:cs="Times New Roman"/>
          <w:kern w:val="0"/>
          <w:sz w:val="28"/>
          <w:szCs w:val="28"/>
          <w:lang w:eastAsia="uk-UA"/>
          <w14:ligatures w14:val="none"/>
        </w:rPr>
        <w:t xml:space="preserve"> </w:t>
      </w:r>
    </w:p>
    <w:p w:rsidR="00DF0FC5" w:rsidRPr="00D32F25" w:rsidRDefault="008513B9" w:rsidP="00DF0FC5">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 xml:space="preserve">Бордоська декларація «Судді та прокурори в демократичному суспільстві», м. Страсбург, </w:t>
      </w:r>
      <w:r w:rsidR="000649EC">
        <w:rPr>
          <w:rFonts w:ascii="Times New Roman" w:eastAsia="Times New Roman" w:hAnsi="Times New Roman" w:cs="Times New Roman"/>
          <w:kern w:val="0"/>
          <w:sz w:val="28"/>
          <w:szCs w:val="28"/>
          <w:lang w:eastAsia="uk-UA"/>
          <w14:ligatures w14:val="none"/>
        </w:rPr>
        <w:t>0</w:t>
      </w:r>
      <w:r w:rsidRPr="00D32F25">
        <w:rPr>
          <w:rFonts w:ascii="Times New Roman" w:eastAsia="Times New Roman" w:hAnsi="Times New Roman" w:cs="Times New Roman"/>
          <w:kern w:val="0"/>
          <w:sz w:val="28"/>
          <w:szCs w:val="28"/>
          <w:lang w:eastAsia="uk-UA"/>
          <w14:ligatures w14:val="none"/>
        </w:rPr>
        <w:t>8</w:t>
      </w:r>
      <w:r w:rsidR="000649EC">
        <w:rPr>
          <w:rFonts w:ascii="Times New Roman" w:eastAsia="Times New Roman" w:hAnsi="Times New Roman" w:cs="Times New Roman"/>
          <w:kern w:val="0"/>
          <w:sz w:val="28"/>
          <w:szCs w:val="28"/>
          <w:lang w:eastAsia="uk-UA"/>
          <w14:ligatures w14:val="none"/>
        </w:rPr>
        <w:t>.12.</w:t>
      </w:r>
      <w:r w:rsidRPr="00D32F25">
        <w:rPr>
          <w:rFonts w:ascii="Times New Roman" w:eastAsia="Times New Roman" w:hAnsi="Times New Roman" w:cs="Times New Roman"/>
          <w:kern w:val="0"/>
          <w:sz w:val="28"/>
          <w:szCs w:val="28"/>
          <w:lang w:eastAsia="uk-UA"/>
          <w14:ligatures w14:val="none"/>
        </w:rPr>
        <w:t xml:space="preserve">2009. URL: </w:t>
      </w:r>
      <w:hyperlink r:id="rId52" w:history="1">
        <w:r w:rsidR="00DF0FC5" w:rsidRPr="00D32F25">
          <w:rPr>
            <w:rStyle w:val="a3"/>
            <w:rFonts w:ascii="Times New Roman" w:eastAsia="Times New Roman" w:hAnsi="Times New Roman" w:cs="Times New Roman"/>
            <w:kern w:val="0"/>
            <w:sz w:val="28"/>
            <w:szCs w:val="28"/>
            <w:lang w:eastAsia="uk-UA"/>
            <w14:ligatures w14:val="none"/>
          </w:rPr>
          <w:t>https://rm.coe.int/16807481e0</w:t>
        </w:r>
      </w:hyperlink>
      <w:r w:rsidR="00DF0FC5" w:rsidRPr="00D32F25">
        <w:rPr>
          <w:rFonts w:ascii="Times New Roman" w:eastAsia="Times New Roman" w:hAnsi="Times New Roman" w:cs="Times New Roman"/>
          <w:kern w:val="0"/>
          <w:sz w:val="28"/>
          <w:szCs w:val="28"/>
          <w:lang w:eastAsia="uk-UA"/>
          <w14:ligatures w14:val="none"/>
        </w:rPr>
        <w:t xml:space="preserve"> </w:t>
      </w:r>
    </w:p>
    <w:p w:rsidR="008513B9" w:rsidRPr="00D32F25" w:rsidRDefault="008513B9" w:rsidP="00DF0FC5">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 xml:space="preserve">Куйбіда </w:t>
      </w:r>
      <w:r w:rsidR="00EE0B1B" w:rsidRPr="00D32F25">
        <w:rPr>
          <w:rFonts w:ascii="Times New Roman" w:eastAsia="Times New Roman" w:hAnsi="Times New Roman" w:cs="Times New Roman"/>
          <w:kern w:val="0"/>
          <w:sz w:val="28"/>
          <w:szCs w:val="28"/>
          <w:lang w:eastAsia="uk-UA"/>
          <w14:ligatures w14:val="none"/>
        </w:rPr>
        <w:t>Р</w:t>
      </w:r>
      <w:r w:rsidRPr="00D32F25">
        <w:rPr>
          <w:rFonts w:ascii="Times New Roman" w:eastAsia="Times New Roman" w:hAnsi="Times New Roman" w:cs="Times New Roman"/>
          <w:kern w:val="0"/>
          <w:sz w:val="28"/>
          <w:szCs w:val="28"/>
          <w:lang w:eastAsia="uk-UA"/>
          <w14:ligatures w14:val="none"/>
        </w:rPr>
        <w:t>., Сироїд О. Посібник із написання судових рішень. К.: «Дрім Арт», 2013. 224 с</w:t>
      </w:r>
      <w:r w:rsidR="00DF0FC5" w:rsidRPr="00D32F25">
        <w:rPr>
          <w:rFonts w:ascii="Times New Roman" w:eastAsia="Times New Roman" w:hAnsi="Times New Roman" w:cs="Times New Roman"/>
          <w:kern w:val="0"/>
          <w:sz w:val="28"/>
          <w:szCs w:val="28"/>
          <w:lang w:eastAsia="uk-UA"/>
          <w14:ligatures w14:val="none"/>
        </w:rPr>
        <w:t xml:space="preserve">. URL: </w:t>
      </w:r>
      <w:hyperlink r:id="rId53" w:history="1">
        <w:r w:rsidR="00DF0FC5" w:rsidRPr="00D32F25">
          <w:rPr>
            <w:rStyle w:val="a3"/>
            <w:rFonts w:ascii="Times New Roman" w:eastAsia="Times New Roman" w:hAnsi="Times New Roman" w:cs="Times New Roman"/>
            <w:kern w:val="0"/>
            <w:sz w:val="28"/>
            <w:szCs w:val="28"/>
            <w:lang w:eastAsia="uk-UA"/>
            <w14:ligatures w14:val="none"/>
          </w:rPr>
          <w:t>https://www.osce.org/sites/default/files/f/documents/f/e/106527.pdf</w:t>
        </w:r>
      </w:hyperlink>
      <w:r w:rsidR="00DF0FC5" w:rsidRPr="00D32F25">
        <w:rPr>
          <w:rFonts w:ascii="Times New Roman" w:eastAsia="Times New Roman" w:hAnsi="Times New Roman" w:cs="Times New Roman"/>
          <w:kern w:val="0"/>
          <w:sz w:val="28"/>
          <w:szCs w:val="28"/>
          <w:lang w:eastAsia="uk-UA"/>
          <w14:ligatures w14:val="none"/>
        </w:rPr>
        <w:t xml:space="preserve"> </w:t>
      </w:r>
    </w:p>
    <w:p w:rsidR="008513B9" w:rsidRPr="00D32F25" w:rsidRDefault="008513B9" w:rsidP="008513B9">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kern w:val="0"/>
          <w:sz w:val="28"/>
          <w:szCs w:val="28"/>
          <w:lang w:eastAsia="uk-UA"/>
          <w14:ligatures w14:val="none"/>
        </w:rPr>
        <w:t xml:space="preserve">Віденська конвенція про право міжнародних договорів: Міжнародний документ від 23.05.1969. </w:t>
      </w:r>
      <w:r w:rsidRPr="00D32F25">
        <w:rPr>
          <w:rFonts w:ascii="Times New Roman" w:eastAsia="Times New Roman" w:hAnsi="Times New Roman" w:cs="Times New Roman"/>
          <w:bCs/>
          <w:kern w:val="0"/>
          <w:sz w:val="28"/>
          <w:szCs w:val="28"/>
          <w:lang w:eastAsia="uk-UA"/>
          <w14:ligatures w14:val="none"/>
        </w:rPr>
        <w:t>URL:</w:t>
      </w:r>
      <w:r w:rsidRPr="00D32F25">
        <w:rPr>
          <w:rFonts w:ascii="Times New Roman" w:eastAsia="Times New Roman" w:hAnsi="Times New Roman" w:cs="Times New Roman"/>
          <w:kern w:val="0"/>
          <w:sz w:val="28"/>
          <w:szCs w:val="28"/>
          <w:lang w:eastAsia="uk-UA"/>
          <w14:ligatures w14:val="none"/>
        </w:rPr>
        <w:t xml:space="preserve"> </w:t>
      </w:r>
      <w:hyperlink r:id="rId54" w:anchor="Text" w:history="1">
        <w:r w:rsidR="00DF0FC5" w:rsidRPr="00D32F25">
          <w:rPr>
            <w:rStyle w:val="a3"/>
            <w:rFonts w:ascii="Times New Roman" w:eastAsia="Times New Roman" w:hAnsi="Times New Roman" w:cs="Times New Roman"/>
            <w:bCs/>
            <w:kern w:val="0"/>
            <w:sz w:val="28"/>
            <w:szCs w:val="28"/>
            <w:lang w:eastAsia="uk-UA"/>
            <w14:ligatures w14:val="none"/>
          </w:rPr>
          <w:t>https://zakon.rada.gov.ua/laws/show/995_118#Text</w:t>
        </w:r>
      </w:hyperlink>
      <w:r w:rsidR="00DF0FC5" w:rsidRPr="00D32F25">
        <w:rPr>
          <w:rFonts w:ascii="Times New Roman" w:eastAsia="Times New Roman" w:hAnsi="Times New Roman" w:cs="Times New Roman"/>
          <w:bCs/>
          <w:kern w:val="0"/>
          <w:sz w:val="28"/>
          <w:szCs w:val="28"/>
          <w:lang w:eastAsia="uk-UA"/>
          <w14:ligatures w14:val="none"/>
        </w:rPr>
        <w:t xml:space="preserve"> </w:t>
      </w:r>
    </w:p>
    <w:p w:rsidR="00E83D6F" w:rsidRPr="00E83D6F" w:rsidRDefault="008513B9" w:rsidP="00E83D6F">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D32F25">
        <w:rPr>
          <w:rFonts w:ascii="Times New Roman" w:eastAsia="Times New Roman" w:hAnsi="Times New Roman" w:cs="Times New Roman"/>
          <w:bCs/>
          <w:kern w:val="0"/>
          <w:sz w:val="28"/>
          <w:szCs w:val="28"/>
          <w:lang w:eastAsia="uk-UA"/>
          <w14:ligatures w14:val="none"/>
        </w:rPr>
        <w:t xml:space="preserve">U.S. Supreme Court. United States v. Two Hundred Barrels of Whiskey, 95 U.S. 571 (1877). URL: </w:t>
      </w:r>
      <w:hyperlink r:id="rId55" w:history="1">
        <w:r w:rsidR="001C02A7" w:rsidRPr="00D32F25">
          <w:rPr>
            <w:rStyle w:val="a3"/>
            <w:rFonts w:ascii="Times New Roman" w:eastAsia="Times New Roman" w:hAnsi="Times New Roman" w:cs="Times New Roman"/>
            <w:bCs/>
            <w:kern w:val="0"/>
            <w:sz w:val="28"/>
            <w:szCs w:val="28"/>
            <w:lang w:eastAsia="uk-UA"/>
            <w14:ligatures w14:val="none"/>
          </w:rPr>
          <w:t>https://supreme.justia.com/cases/federal/us/95/571</w:t>
        </w:r>
      </w:hyperlink>
      <w:bookmarkEnd w:id="31"/>
      <w:r w:rsidR="001C02A7" w:rsidRPr="00D32F25">
        <w:rPr>
          <w:rFonts w:ascii="Times New Roman" w:eastAsia="Times New Roman" w:hAnsi="Times New Roman" w:cs="Times New Roman"/>
          <w:bCs/>
          <w:kern w:val="0"/>
          <w:sz w:val="28"/>
          <w:szCs w:val="28"/>
          <w:lang w:eastAsia="uk-UA"/>
          <w14:ligatures w14:val="none"/>
        </w:rPr>
        <w:t xml:space="preserve"> </w:t>
      </w:r>
    </w:p>
    <w:p w:rsidR="000F44E0" w:rsidRPr="00E83D6F" w:rsidRDefault="000F44E0" w:rsidP="000F44E0">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proofErr w:type="spellStart"/>
      <w:r w:rsidRPr="00E83D6F">
        <w:rPr>
          <w:rFonts w:ascii="Times New Roman" w:eastAsia="Times New Roman" w:hAnsi="Times New Roman" w:cs="Times New Roman"/>
          <w:kern w:val="0"/>
          <w:sz w:val="28"/>
          <w:szCs w:val="28"/>
          <w:lang w:eastAsia="uk-UA"/>
          <w14:ligatures w14:val="none"/>
        </w:rPr>
        <w:t>Berna</w:t>
      </w:r>
      <w:proofErr w:type="spellEnd"/>
      <w:r w:rsidR="003078D0">
        <w:rPr>
          <w:rFonts w:ascii="Times New Roman" w:eastAsia="Times New Roman" w:hAnsi="Times New Roman" w:cs="Times New Roman"/>
          <w:kern w:val="0"/>
          <w:sz w:val="28"/>
          <w:szCs w:val="28"/>
          <w:lang w:val="en-US" w:eastAsia="uk-UA"/>
          <w14:ligatures w14:val="none"/>
        </w:rPr>
        <w:t>z</w:t>
      </w:r>
      <w:proofErr w:type="spellStart"/>
      <w:r w:rsidRPr="00E83D6F">
        <w:rPr>
          <w:rFonts w:ascii="Times New Roman" w:eastAsia="Times New Roman" w:hAnsi="Times New Roman" w:cs="Times New Roman"/>
          <w:kern w:val="0"/>
          <w:sz w:val="28"/>
          <w:szCs w:val="28"/>
          <w:lang w:eastAsia="uk-UA"/>
          <w14:ligatures w14:val="none"/>
        </w:rPr>
        <w:t>iuk</w:t>
      </w:r>
      <w:proofErr w:type="spellEnd"/>
      <w:r w:rsidRPr="00E83D6F">
        <w:rPr>
          <w:rFonts w:ascii="Times New Roman" w:eastAsia="Times New Roman" w:hAnsi="Times New Roman" w:cs="Times New Roman"/>
          <w:kern w:val="0"/>
          <w:sz w:val="28"/>
          <w:szCs w:val="28"/>
          <w:lang w:eastAsia="uk-UA"/>
          <w14:ligatures w14:val="none"/>
        </w:rPr>
        <w:t xml:space="preserve"> </w:t>
      </w:r>
      <w:proofErr w:type="spellStart"/>
      <w:r w:rsidRPr="00E83D6F">
        <w:rPr>
          <w:rFonts w:ascii="Times New Roman" w:eastAsia="Times New Roman" w:hAnsi="Times New Roman" w:cs="Times New Roman"/>
          <w:kern w:val="0"/>
          <w:sz w:val="28"/>
          <w:szCs w:val="28"/>
          <w:lang w:eastAsia="uk-UA"/>
          <w14:ligatures w14:val="none"/>
        </w:rPr>
        <w:t>Ian</w:t>
      </w:r>
      <w:proofErr w:type="spellEnd"/>
      <w:r w:rsidRPr="00E83D6F">
        <w:rPr>
          <w:rFonts w:ascii="Times New Roman" w:eastAsia="Times New Roman" w:hAnsi="Times New Roman" w:cs="Times New Roman"/>
          <w:kern w:val="0"/>
          <w:sz w:val="28"/>
          <w:szCs w:val="28"/>
          <w:lang w:eastAsia="uk-UA"/>
          <w14:ligatures w14:val="none"/>
        </w:rPr>
        <w:t xml:space="preserve">. </w:t>
      </w:r>
      <w:proofErr w:type="spellStart"/>
      <w:r w:rsidRPr="00E83D6F">
        <w:rPr>
          <w:rFonts w:ascii="Times New Roman" w:eastAsia="Times New Roman" w:hAnsi="Times New Roman" w:cs="Times New Roman"/>
          <w:kern w:val="0"/>
          <w:sz w:val="28"/>
          <w:szCs w:val="28"/>
          <w:lang w:eastAsia="uk-UA"/>
          <w14:ligatures w14:val="none"/>
        </w:rPr>
        <w:t>Evolution</w:t>
      </w:r>
      <w:proofErr w:type="spellEnd"/>
      <w:r w:rsidRPr="00E83D6F">
        <w:rPr>
          <w:rFonts w:ascii="Times New Roman" w:eastAsia="Times New Roman" w:hAnsi="Times New Roman" w:cs="Times New Roman"/>
          <w:kern w:val="0"/>
          <w:sz w:val="28"/>
          <w:szCs w:val="28"/>
          <w:lang w:eastAsia="uk-UA"/>
          <w14:ligatures w14:val="none"/>
        </w:rPr>
        <w:t xml:space="preserve"> of the principles of administrative </w:t>
      </w:r>
      <w:proofErr w:type="spellStart"/>
      <w:r w:rsidRPr="00E83D6F">
        <w:rPr>
          <w:rFonts w:ascii="Times New Roman" w:eastAsia="Times New Roman" w:hAnsi="Times New Roman" w:cs="Times New Roman"/>
          <w:kern w:val="0"/>
          <w:sz w:val="28"/>
          <w:szCs w:val="28"/>
          <w:lang w:eastAsia="uk-UA"/>
          <w14:ligatures w14:val="none"/>
        </w:rPr>
        <w:t>proceedings</w:t>
      </w:r>
      <w:proofErr w:type="spellEnd"/>
      <w:r w:rsidRPr="00E83D6F">
        <w:rPr>
          <w:rFonts w:ascii="Times New Roman" w:eastAsia="Times New Roman" w:hAnsi="Times New Roman" w:cs="Times New Roman"/>
          <w:kern w:val="0"/>
          <w:sz w:val="28"/>
          <w:szCs w:val="28"/>
          <w:lang w:eastAsia="uk-UA"/>
          <w14:ligatures w14:val="none"/>
        </w:rPr>
        <w:t xml:space="preserve">: </w:t>
      </w:r>
      <w:proofErr w:type="spellStart"/>
      <w:r w:rsidRPr="00E83D6F">
        <w:rPr>
          <w:rFonts w:ascii="Times New Roman" w:eastAsia="Times New Roman" w:hAnsi="Times New Roman" w:cs="Times New Roman"/>
          <w:kern w:val="0"/>
          <w:sz w:val="28"/>
          <w:szCs w:val="28"/>
          <w:lang w:eastAsia="uk-UA"/>
          <w14:ligatures w14:val="none"/>
        </w:rPr>
        <w:t>past</w:t>
      </w:r>
      <w:proofErr w:type="spellEnd"/>
      <w:r w:rsidRPr="00E83D6F">
        <w:rPr>
          <w:rFonts w:ascii="Times New Roman" w:eastAsia="Times New Roman" w:hAnsi="Times New Roman" w:cs="Times New Roman"/>
          <w:kern w:val="0"/>
          <w:sz w:val="28"/>
          <w:szCs w:val="28"/>
          <w:lang w:eastAsia="uk-UA"/>
          <w14:ligatures w14:val="none"/>
        </w:rPr>
        <w:t xml:space="preserve">, </w:t>
      </w:r>
      <w:proofErr w:type="spellStart"/>
      <w:r w:rsidRPr="00E83D6F">
        <w:rPr>
          <w:rFonts w:ascii="Times New Roman" w:eastAsia="Times New Roman" w:hAnsi="Times New Roman" w:cs="Times New Roman"/>
          <w:kern w:val="0"/>
          <w:sz w:val="28"/>
          <w:szCs w:val="28"/>
          <w:lang w:eastAsia="uk-UA"/>
          <w14:ligatures w14:val="none"/>
        </w:rPr>
        <w:t>present</w:t>
      </w:r>
      <w:proofErr w:type="spellEnd"/>
      <w:r w:rsidRPr="00E83D6F">
        <w:rPr>
          <w:rFonts w:ascii="Times New Roman" w:eastAsia="Times New Roman" w:hAnsi="Times New Roman" w:cs="Times New Roman"/>
          <w:kern w:val="0"/>
          <w:sz w:val="28"/>
          <w:szCs w:val="28"/>
          <w:lang w:eastAsia="uk-UA"/>
          <w14:ligatures w14:val="none"/>
        </w:rPr>
        <w:t xml:space="preserve">, and </w:t>
      </w:r>
      <w:proofErr w:type="spellStart"/>
      <w:r w:rsidRPr="00E83D6F">
        <w:rPr>
          <w:rFonts w:ascii="Times New Roman" w:eastAsia="Times New Roman" w:hAnsi="Times New Roman" w:cs="Times New Roman"/>
          <w:kern w:val="0"/>
          <w:sz w:val="28"/>
          <w:szCs w:val="28"/>
          <w:lang w:eastAsia="uk-UA"/>
          <w14:ligatures w14:val="none"/>
        </w:rPr>
        <w:t>future</w:t>
      </w:r>
      <w:proofErr w:type="spellEnd"/>
      <w:r w:rsidRPr="00E83D6F">
        <w:rPr>
          <w:rFonts w:ascii="Times New Roman" w:eastAsia="Times New Roman" w:hAnsi="Times New Roman" w:cs="Times New Roman"/>
          <w:bCs/>
          <w:kern w:val="0"/>
          <w:sz w:val="28"/>
          <w:szCs w:val="28"/>
          <w:lang w:eastAsia="uk-UA"/>
          <w14:ligatures w14:val="none"/>
        </w:rPr>
        <w:t xml:space="preserve">. URL: </w:t>
      </w:r>
      <w:hyperlink r:id="rId56" w:history="1">
        <w:r w:rsidRPr="001B025E">
          <w:rPr>
            <w:rStyle w:val="a3"/>
            <w:rFonts w:ascii="Times New Roman" w:eastAsia="Times New Roman" w:hAnsi="Times New Roman" w:cs="Times New Roman"/>
            <w:kern w:val="0"/>
            <w:sz w:val="28"/>
            <w:szCs w:val="28"/>
            <w:lang w:eastAsia="uk-UA"/>
            <w14:ligatures w14:val="none"/>
          </w:rPr>
          <w:t>https://constitutionalist.com.ua/evolution-of-the-principles-of-administrative-proceedings-past-present-and-future</w:t>
        </w:r>
      </w:hyperlink>
      <w:r>
        <w:rPr>
          <w:rFonts w:ascii="Times New Roman" w:eastAsia="Times New Roman" w:hAnsi="Times New Roman" w:cs="Times New Roman"/>
          <w:kern w:val="0"/>
          <w:sz w:val="28"/>
          <w:szCs w:val="28"/>
          <w:lang w:val="en-US" w:eastAsia="uk-UA"/>
          <w14:ligatures w14:val="none"/>
        </w:rPr>
        <w:t xml:space="preserve"> </w:t>
      </w:r>
    </w:p>
    <w:p w:rsidR="00E83D6F" w:rsidRPr="00E83D6F" w:rsidRDefault="00E83D6F" w:rsidP="00E83D6F">
      <w:pPr>
        <w:pStyle w:val="a9"/>
        <w:numPr>
          <w:ilvl w:val="0"/>
          <w:numId w:val="25"/>
        </w:numPr>
        <w:tabs>
          <w:tab w:val="left" w:pos="993"/>
          <w:tab w:val="left" w:pos="1134"/>
        </w:tabs>
        <w:spacing w:after="0" w:line="360" w:lineRule="auto"/>
        <w:ind w:left="0" w:firstLine="567"/>
        <w:jc w:val="both"/>
        <w:rPr>
          <w:rFonts w:ascii="Times New Roman" w:eastAsia="Times New Roman" w:hAnsi="Times New Roman" w:cs="Times New Roman"/>
          <w:kern w:val="0"/>
          <w:sz w:val="28"/>
          <w:szCs w:val="28"/>
          <w:lang w:eastAsia="uk-UA"/>
          <w14:ligatures w14:val="none"/>
        </w:rPr>
      </w:pPr>
      <w:r w:rsidRPr="00E83D6F">
        <w:rPr>
          <w:rFonts w:ascii="Times New Roman" w:eastAsia="Times New Roman" w:hAnsi="Times New Roman" w:cs="Times New Roman"/>
          <w:kern w:val="0"/>
          <w:sz w:val="28"/>
          <w:szCs w:val="28"/>
          <w:lang w:eastAsia="uk-UA"/>
          <w14:ligatures w14:val="none"/>
        </w:rPr>
        <w:t xml:space="preserve">Bernaziuk </w:t>
      </w:r>
      <w:r>
        <w:rPr>
          <w:rFonts w:ascii="Times New Roman" w:eastAsia="Times New Roman" w:hAnsi="Times New Roman" w:cs="Times New Roman"/>
          <w:kern w:val="0"/>
          <w:sz w:val="28"/>
          <w:szCs w:val="28"/>
          <w:lang w:val="en-US" w:eastAsia="uk-UA"/>
          <w14:ligatures w14:val="none"/>
        </w:rPr>
        <w:t>I</w:t>
      </w:r>
      <w:proofErr w:type="spellStart"/>
      <w:r w:rsidRPr="00E83D6F">
        <w:rPr>
          <w:rFonts w:ascii="Times New Roman" w:eastAsia="Times New Roman" w:hAnsi="Times New Roman" w:cs="Times New Roman"/>
          <w:kern w:val="0"/>
          <w:sz w:val="28"/>
          <w:szCs w:val="28"/>
          <w:lang w:eastAsia="uk-UA"/>
          <w14:ligatures w14:val="none"/>
        </w:rPr>
        <w:t>an</w:t>
      </w:r>
      <w:proofErr w:type="spellEnd"/>
      <w:r w:rsidRPr="00E83D6F">
        <w:rPr>
          <w:rFonts w:ascii="Times New Roman" w:eastAsia="Times New Roman" w:hAnsi="Times New Roman" w:cs="Times New Roman"/>
          <w:kern w:val="0"/>
          <w:sz w:val="28"/>
          <w:szCs w:val="28"/>
          <w:lang w:eastAsia="uk-UA"/>
          <w14:ligatures w14:val="none"/>
        </w:rPr>
        <w:t xml:space="preserve">. </w:t>
      </w:r>
      <w:proofErr w:type="spellStart"/>
      <w:r w:rsidRPr="00E83D6F">
        <w:rPr>
          <w:rFonts w:ascii="Times New Roman" w:eastAsia="Times New Roman" w:hAnsi="Times New Roman" w:cs="Times New Roman"/>
          <w:kern w:val="0"/>
          <w:sz w:val="28"/>
          <w:szCs w:val="28"/>
          <w:lang w:eastAsia="uk-UA"/>
          <w14:ligatures w14:val="none"/>
        </w:rPr>
        <w:t>Artificial</w:t>
      </w:r>
      <w:proofErr w:type="spellEnd"/>
      <w:r w:rsidRPr="00E83D6F">
        <w:rPr>
          <w:rFonts w:ascii="Times New Roman" w:eastAsia="Times New Roman" w:hAnsi="Times New Roman" w:cs="Times New Roman"/>
          <w:kern w:val="0"/>
          <w:sz w:val="28"/>
          <w:szCs w:val="28"/>
          <w:lang w:eastAsia="uk-UA"/>
          <w14:ligatures w14:val="none"/>
        </w:rPr>
        <w:t xml:space="preserve"> </w:t>
      </w:r>
      <w:proofErr w:type="spellStart"/>
      <w:r w:rsidRPr="00E83D6F">
        <w:rPr>
          <w:rFonts w:ascii="Times New Roman" w:eastAsia="Times New Roman" w:hAnsi="Times New Roman" w:cs="Times New Roman"/>
          <w:kern w:val="0"/>
          <w:sz w:val="28"/>
          <w:szCs w:val="28"/>
          <w:lang w:eastAsia="uk-UA"/>
          <w14:ligatures w14:val="none"/>
        </w:rPr>
        <w:t>intelligence</w:t>
      </w:r>
      <w:proofErr w:type="spellEnd"/>
      <w:r w:rsidRPr="00E83D6F">
        <w:rPr>
          <w:rFonts w:ascii="Times New Roman" w:eastAsia="Times New Roman" w:hAnsi="Times New Roman" w:cs="Times New Roman"/>
          <w:kern w:val="0"/>
          <w:sz w:val="28"/>
          <w:szCs w:val="28"/>
          <w:lang w:eastAsia="uk-UA"/>
          <w14:ligatures w14:val="none"/>
        </w:rPr>
        <w:t xml:space="preserve"> in the Ukrainian judiciary: </w:t>
      </w:r>
      <w:proofErr w:type="spellStart"/>
      <w:r w:rsidRPr="00E83D6F">
        <w:rPr>
          <w:rFonts w:ascii="Times New Roman" w:eastAsia="Times New Roman" w:hAnsi="Times New Roman" w:cs="Times New Roman"/>
          <w:kern w:val="0"/>
          <w:sz w:val="28"/>
          <w:szCs w:val="28"/>
          <w:lang w:eastAsia="uk-UA"/>
          <w14:ligatures w14:val="none"/>
        </w:rPr>
        <w:t>charting</w:t>
      </w:r>
      <w:proofErr w:type="spellEnd"/>
      <w:r w:rsidRPr="00E83D6F">
        <w:rPr>
          <w:rFonts w:ascii="Times New Roman" w:eastAsia="Times New Roman" w:hAnsi="Times New Roman" w:cs="Times New Roman"/>
          <w:kern w:val="0"/>
          <w:sz w:val="28"/>
          <w:szCs w:val="28"/>
          <w:lang w:eastAsia="uk-UA"/>
          <w14:ligatures w14:val="none"/>
        </w:rPr>
        <w:t xml:space="preserve"> the </w:t>
      </w:r>
      <w:proofErr w:type="spellStart"/>
      <w:r w:rsidRPr="00E83D6F">
        <w:rPr>
          <w:rFonts w:ascii="Times New Roman" w:eastAsia="Times New Roman" w:hAnsi="Times New Roman" w:cs="Times New Roman"/>
          <w:kern w:val="0"/>
          <w:sz w:val="28"/>
          <w:szCs w:val="28"/>
          <w:lang w:eastAsia="uk-UA"/>
          <w14:ligatures w14:val="none"/>
        </w:rPr>
        <w:t>course</w:t>
      </w:r>
      <w:proofErr w:type="spellEnd"/>
      <w:r w:rsidRPr="00E83D6F">
        <w:rPr>
          <w:rFonts w:ascii="Times New Roman" w:eastAsia="Times New Roman" w:hAnsi="Times New Roman" w:cs="Times New Roman"/>
          <w:kern w:val="0"/>
          <w:sz w:val="28"/>
          <w:szCs w:val="28"/>
          <w:lang w:eastAsia="uk-UA"/>
          <w14:ligatures w14:val="none"/>
        </w:rPr>
        <w:t xml:space="preserve"> under the </w:t>
      </w:r>
      <w:proofErr w:type="spellStart"/>
      <w:r w:rsidRPr="00E83D6F">
        <w:rPr>
          <w:rFonts w:ascii="Times New Roman" w:eastAsia="Times New Roman" w:hAnsi="Times New Roman" w:cs="Times New Roman"/>
          <w:kern w:val="0"/>
          <w:sz w:val="28"/>
          <w:szCs w:val="28"/>
          <w:lang w:eastAsia="uk-UA"/>
          <w14:ligatures w14:val="none"/>
        </w:rPr>
        <w:t>digital</w:t>
      </w:r>
      <w:proofErr w:type="spellEnd"/>
      <w:r w:rsidRPr="00E83D6F">
        <w:rPr>
          <w:rFonts w:ascii="Times New Roman" w:eastAsia="Times New Roman" w:hAnsi="Times New Roman" w:cs="Times New Roman"/>
          <w:kern w:val="0"/>
          <w:sz w:val="28"/>
          <w:szCs w:val="28"/>
          <w:lang w:eastAsia="uk-UA"/>
          <w14:ligatures w14:val="none"/>
        </w:rPr>
        <w:t xml:space="preserve"> </w:t>
      </w:r>
      <w:proofErr w:type="spellStart"/>
      <w:r w:rsidRPr="00E83D6F">
        <w:rPr>
          <w:rFonts w:ascii="Times New Roman" w:eastAsia="Times New Roman" w:hAnsi="Times New Roman" w:cs="Times New Roman"/>
          <w:kern w:val="0"/>
          <w:sz w:val="28"/>
          <w:szCs w:val="28"/>
          <w:lang w:eastAsia="uk-UA"/>
          <w14:ligatures w14:val="none"/>
        </w:rPr>
        <w:t>gavel</w:t>
      </w:r>
      <w:proofErr w:type="spellEnd"/>
      <w:r w:rsidRPr="00E83D6F">
        <w:rPr>
          <w:rFonts w:ascii="Times New Roman" w:eastAsia="Times New Roman" w:hAnsi="Times New Roman" w:cs="Times New Roman"/>
          <w:kern w:val="0"/>
          <w:sz w:val="28"/>
          <w:szCs w:val="28"/>
          <w:lang w:eastAsia="uk-UA"/>
          <w14:ligatures w14:val="none"/>
        </w:rPr>
        <w:t xml:space="preserve"> – </w:t>
      </w:r>
      <w:proofErr w:type="spellStart"/>
      <w:r w:rsidRPr="00E83D6F">
        <w:rPr>
          <w:rFonts w:ascii="Times New Roman" w:eastAsia="Times New Roman" w:hAnsi="Times New Roman" w:cs="Times New Roman"/>
          <w:kern w:val="0"/>
          <w:sz w:val="28"/>
          <w:szCs w:val="28"/>
          <w:lang w:eastAsia="uk-UA"/>
          <w14:ligatures w14:val="none"/>
        </w:rPr>
        <w:t>article</w:t>
      </w:r>
      <w:proofErr w:type="spellEnd"/>
      <w:r w:rsidRPr="00E83D6F">
        <w:rPr>
          <w:rFonts w:ascii="Times New Roman" w:eastAsia="Times New Roman" w:hAnsi="Times New Roman" w:cs="Times New Roman"/>
          <w:kern w:val="0"/>
          <w:sz w:val="28"/>
          <w:szCs w:val="28"/>
          <w:lang w:eastAsia="uk-UA"/>
          <w14:ligatures w14:val="none"/>
        </w:rPr>
        <w:t xml:space="preserve"> by </w:t>
      </w:r>
      <w:proofErr w:type="spellStart"/>
      <w:r w:rsidRPr="00E83D6F">
        <w:rPr>
          <w:rFonts w:ascii="Times New Roman" w:eastAsia="Times New Roman" w:hAnsi="Times New Roman" w:cs="Times New Roman"/>
          <w:kern w:val="0"/>
          <w:sz w:val="28"/>
          <w:szCs w:val="28"/>
          <w:lang w:eastAsia="uk-UA"/>
          <w14:ligatures w14:val="none"/>
        </w:rPr>
        <w:t>judge</w:t>
      </w:r>
      <w:proofErr w:type="spellEnd"/>
      <w:r w:rsidRPr="00E83D6F">
        <w:rPr>
          <w:rFonts w:ascii="Times New Roman" w:eastAsia="Times New Roman" w:hAnsi="Times New Roman" w:cs="Times New Roman"/>
          <w:kern w:val="0"/>
          <w:sz w:val="28"/>
          <w:szCs w:val="28"/>
          <w:lang w:eastAsia="uk-UA"/>
          <w14:ligatures w14:val="none"/>
        </w:rPr>
        <w:t xml:space="preserve"> of the Supreme Court </w:t>
      </w:r>
      <w:proofErr w:type="spellStart"/>
      <w:r w:rsidRPr="00E83D6F">
        <w:rPr>
          <w:rFonts w:ascii="Times New Roman" w:eastAsia="Times New Roman" w:hAnsi="Times New Roman" w:cs="Times New Roman"/>
          <w:kern w:val="0"/>
          <w:sz w:val="28"/>
          <w:szCs w:val="28"/>
          <w:lang w:eastAsia="uk-UA"/>
          <w14:ligatures w14:val="none"/>
        </w:rPr>
        <w:t>at</w:t>
      </w:r>
      <w:proofErr w:type="spellEnd"/>
      <w:r w:rsidRPr="00E83D6F">
        <w:rPr>
          <w:rFonts w:ascii="Times New Roman" w:eastAsia="Times New Roman" w:hAnsi="Times New Roman" w:cs="Times New Roman"/>
          <w:kern w:val="0"/>
          <w:sz w:val="28"/>
          <w:szCs w:val="28"/>
          <w:lang w:eastAsia="uk-UA"/>
          <w14:ligatures w14:val="none"/>
        </w:rPr>
        <w:t xml:space="preserve"> the </w:t>
      </w:r>
      <w:r w:rsidRPr="00E83D6F">
        <w:rPr>
          <w:rFonts w:ascii="Times New Roman" w:eastAsia="Times New Roman" w:hAnsi="Times New Roman" w:cs="Times New Roman"/>
          <w:kern w:val="0"/>
          <w:sz w:val="28"/>
          <w:szCs w:val="28"/>
          <w:lang w:eastAsia="uk-UA"/>
          <w14:ligatures w14:val="none"/>
        </w:rPr>
        <w:lastRenderedPageBreak/>
        <w:t xml:space="preserve">Administrative </w:t>
      </w:r>
      <w:proofErr w:type="spellStart"/>
      <w:r w:rsidRPr="00E83D6F">
        <w:rPr>
          <w:rFonts w:ascii="Times New Roman" w:eastAsia="Times New Roman" w:hAnsi="Times New Roman" w:cs="Times New Roman"/>
          <w:kern w:val="0"/>
          <w:sz w:val="28"/>
          <w:szCs w:val="28"/>
          <w:lang w:eastAsia="uk-UA"/>
          <w14:ligatures w14:val="none"/>
        </w:rPr>
        <w:t>Cassation</w:t>
      </w:r>
      <w:proofErr w:type="spellEnd"/>
      <w:r w:rsidRPr="00E83D6F">
        <w:rPr>
          <w:rFonts w:ascii="Times New Roman" w:eastAsia="Times New Roman" w:hAnsi="Times New Roman" w:cs="Times New Roman"/>
          <w:kern w:val="0"/>
          <w:sz w:val="28"/>
          <w:szCs w:val="28"/>
          <w:lang w:eastAsia="uk-UA"/>
          <w14:ligatures w14:val="none"/>
        </w:rPr>
        <w:t xml:space="preserve"> Court</w:t>
      </w:r>
      <w:r w:rsidRPr="00D32F25">
        <w:rPr>
          <w:rFonts w:ascii="Times New Roman" w:eastAsia="Times New Roman" w:hAnsi="Times New Roman" w:cs="Times New Roman"/>
          <w:bCs/>
          <w:kern w:val="0"/>
          <w:sz w:val="28"/>
          <w:szCs w:val="28"/>
          <w:lang w:eastAsia="uk-UA"/>
          <w14:ligatures w14:val="none"/>
        </w:rPr>
        <w:t xml:space="preserve">. URL: </w:t>
      </w:r>
      <w:hyperlink r:id="rId57" w:history="1">
        <w:r w:rsidRPr="001B025E">
          <w:rPr>
            <w:rStyle w:val="a3"/>
            <w:rFonts w:ascii="Times New Roman" w:eastAsia="Times New Roman" w:hAnsi="Times New Roman" w:cs="Times New Roman"/>
            <w:kern w:val="0"/>
            <w:sz w:val="28"/>
            <w:szCs w:val="28"/>
            <w:lang w:eastAsia="uk-UA"/>
            <w14:ligatures w14:val="none"/>
          </w:rPr>
          <w:t>https://court.gov.ua/eng/supreme/pres-centr/news/1891488</w:t>
        </w:r>
      </w:hyperlink>
      <w:r>
        <w:rPr>
          <w:rFonts w:ascii="Times New Roman" w:eastAsia="Times New Roman" w:hAnsi="Times New Roman" w:cs="Times New Roman"/>
          <w:kern w:val="0"/>
          <w:sz w:val="28"/>
          <w:szCs w:val="28"/>
          <w:lang w:val="en-US" w:eastAsia="uk-UA"/>
          <w14:ligatures w14:val="none"/>
        </w:rPr>
        <w:t xml:space="preserve"> </w:t>
      </w:r>
    </w:p>
    <w:p w:rsidR="003154FD" w:rsidRPr="00D32F25" w:rsidRDefault="003154FD">
      <w:bookmarkStart w:id="32" w:name="_GoBack"/>
      <w:bookmarkEnd w:id="32"/>
    </w:p>
    <w:sectPr w:rsidR="003154FD" w:rsidRPr="00D32F25" w:rsidSect="00131E19">
      <w:pgSz w:w="11906" w:h="16838"/>
      <w:pgMar w:top="851" w:right="850"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A1773"/>
    <w:multiLevelType w:val="hybridMultilevel"/>
    <w:tmpl w:val="74EACF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3962D4"/>
    <w:multiLevelType w:val="hybridMultilevel"/>
    <w:tmpl w:val="31CCC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E77EA6"/>
    <w:multiLevelType w:val="hybridMultilevel"/>
    <w:tmpl w:val="FA0AD3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B66FC9"/>
    <w:multiLevelType w:val="hybridMultilevel"/>
    <w:tmpl w:val="A6E06F6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233975DB"/>
    <w:multiLevelType w:val="multilevel"/>
    <w:tmpl w:val="23B2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751CFE"/>
    <w:multiLevelType w:val="multilevel"/>
    <w:tmpl w:val="FB581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4165A"/>
    <w:multiLevelType w:val="hybridMultilevel"/>
    <w:tmpl w:val="AC6677BC"/>
    <w:lvl w:ilvl="0" w:tplc="D728D0B0">
      <w:start w:val="1"/>
      <w:numFmt w:val="decimal"/>
      <w:lvlText w:val="%1."/>
      <w:lvlJc w:val="left"/>
      <w:pPr>
        <w:ind w:left="720" w:hanging="360"/>
      </w:pPr>
      <w:rPr>
        <w:rFonts w:ascii="Times New Roman" w:eastAsia="Times New Roman" w:hAnsi="Times New Roman" w:cs="Times New Roman"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ABC29CD"/>
    <w:multiLevelType w:val="multilevel"/>
    <w:tmpl w:val="C648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A24E88"/>
    <w:multiLevelType w:val="multilevel"/>
    <w:tmpl w:val="F5D6B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1D2838"/>
    <w:multiLevelType w:val="hybridMultilevel"/>
    <w:tmpl w:val="5C3E4FD4"/>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0" w15:restartNumberingAfterBreak="0">
    <w:nsid w:val="3DB16BFF"/>
    <w:multiLevelType w:val="multilevel"/>
    <w:tmpl w:val="A40A98EE"/>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1F35B90"/>
    <w:multiLevelType w:val="hybridMultilevel"/>
    <w:tmpl w:val="C840C27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45D70E3E"/>
    <w:multiLevelType w:val="multilevel"/>
    <w:tmpl w:val="39ACE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DE4BE6"/>
    <w:multiLevelType w:val="multilevel"/>
    <w:tmpl w:val="02EA2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0259E2"/>
    <w:multiLevelType w:val="multilevel"/>
    <w:tmpl w:val="DB144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DB5E44"/>
    <w:multiLevelType w:val="hybridMultilevel"/>
    <w:tmpl w:val="2F18F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5F02A99"/>
    <w:multiLevelType w:val="multilevel"/>
    <w:tmpl w:val="D3981582"/>
    <w:lvl w:ilvl="0">
      <w:start w:val="9"/>
      <w:numFmt w:val="decimal"/>
      <w:lvlText w:val="%1."/>
      <w:lvlJc w:val="left"/>
      <w:pPr>
        <w:tabs>
          <w:tab w:val="num" w:pos="720"/>
        </w:tabs>
        <w:ind w:left="720" w:hanging="360"/>
      </w:pPr>
    </w:lvl>
    <w:lvl w:ilvl="1">
      <w:start w:val="1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1D0CFC"/>
    <w:multiLevelType w:val="multilevel"/>
    <w:tmpl w:val="81B6A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0C1A1A"/>
    <w:multiLevelType w:val="hybridMultilevel"/>
    <w:tmpl w:val="1A8021F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9" w15:restartNumberingAfterBreak="0">
    <w:nsid w:val="5F713557"/>
    <w:multiLevelType w:val="hybridMultilevel"/>
    <w:tmpl w:val="1EDC3AD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0" w15:restartNumberingAfterBreak="0">
    <w:nsid w:val="60D34BF5"/>
    <w:multiLevelType w:val="hybridMultilevel"/>
    <w:tmpl w:val="57B6623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15:restartNumberingAfterBreak="0">
    <w:nsid w:val="62E37BB3"/>
    <w:multiLevelType w:val="multilevel"/>
    <w:tmpl w:val="B3D2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404BA6"/>
    <w:multiLevelType w:val="multilevel"/>
    <w:tmpl w:val="E76EF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C41A12"/>
    <w:multiLevelType w:val="multilevel"/>
    <w:tmpl w:val="981C03BE"/>
    <w:lvl w:ilvl="0">
      <w:start w:val="1"/>
      <w:numFmt w:val="decimal"/>
      <w:lvlText w:val="%1."/>
      <w:lvlJc w:val="left"/>
      <w:pPr>
        <w:ind w:left="1137" w:hanging="57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4" w15:restartNumberingAfterBreak="0">
    <w:nsid w:val="6E5159D9"/>
    <w:multiLevelType w:val="hybridMultilevel"/>
    <w:tmpl w:val="4C5E4BD0"/>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5" w15:restartNumberingAfterBreak="0">
    <w:nsid w:val="76AD1FDC"/>
    <w:multiLevelType w:val="multilevel"/>
    <w:tmpl w:val="DBB8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16"/>
  </w:num>
  <w:num w:numId="4">
    <w:abstractNumId w:val="25"/>
  </w:num>
  <w:num w:numId="5">
    <w:abstractNumId w:val="5"/>
  </w:num>
  <w:num w:numId="6">
    <w:abstractNumId w:val="22"/>
  </w:num>
  <w:num w:numId="7">
    <w:abstractNumId w:val="8"/>
  </w:num>
  <w:num w:numId="8">
    <w:abstractNumId w:val="14"/>
  </w:num>
  <w:num w:numId="9">
    <w:abstractNumId w:val="13"/>
  </w:num>
  <w:num w:numId="10">
    <w:abstractNumId w:val="24"/>
  </w:num>
  <w:num w:numId="11">
    <w:abstractNumId w:val="9"/>
  </w:num>
  <w:num w:numId="12">
    <w:abstractNumId w:val="3"/>
  </w:num>
  <w:num w:numId="13">
    <w:abstractNumId w:val="20"/>
  </w:num>
  <w:num w:numId="14">
    <w:abstractNumId w:val="12"/>
  </w:num>
  <w:num w:numId="15">
    <w:abstractNumId w:val="17"/>
  </w:num>
  <w:num w:numId="16">
    <w:abstractNumId w:val="21"/>
  </w:num>
  <w:num w:numId="17">
    <w:abstractNumId w:val="4"/>
  </w:num>
  <w:num w:numId="18">
    <w:abstractNumId w:val="7"/>
  </w:num>
  <w:num w:numId="19">
    <w:abstractNumId w:val="2"/>
  </w:num>
  <w:num w:numId="20">
    <w:abstractNumId w:val="18"/>
  </w:num>
  <w:num w:numId="21">
    <w:abstractNumId w:val="1"/>
  </w:num>
  <w:num w:numId="22">
    <w:abstractNumId w:val="15"/>
  </w:num>
  <w:num w:numId="23">
    <w:abstractNumId w:val="11"/>
  </w:num>
  <w:num w:numId="24">
    <w:abstractNumId w:val="23"/>
  </w:num>
  <w:num w:numId="25">
    <w:abstractNumId w:val="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3B0"/>
    <w:rsid w:val="0002191A"/>
    <w:rsid w:val="000649EC"/>
    <w:rsid w:val="000F44E0"/>
    <w:rsid w:val="00131E19"/>
    <w:rsid w:val="001A6E10"/>
    <w:rsid w:val="001C02A7"/>
    <w:rsid w:val="00226E5A"/>
    <w:rsid w:val="002C6BE8"/>
    <w:rsid w:val="003078D0"/>
    <w:rsid w:val="003154FD"/>
    <w:rsid w:val="003256BD"/>
    <w:rsid w:val="003C261C"/>
    <w:rsid w:val="00407CFC"/>
    <w:rsid w:val="0049045C"/>
    <w:rsid w:val="004B7CD6"/>
    <w:rsid w:val="00597328"/>
    <w:rsid w:val="007A5CC2"/>
    <w:rsid w:val="007F0F61"/>
    <w:rsid w:val="008513B9"/>
    <w:rsid w:val="00873162"/>
    <w:rsid w:val="008D33B0"/>
    <w:rsid w:val="008D3654"/>
    <w:rsid w:val="00917CDF"/>
    <w:rsid w:val="00954515"/>
    <w:rsid w:val="009B5037"/>
    <w:rsid w:val="00A1153D"/>
    <w:rsid w:val="00AD7740"/>
    <w:rsid w:val="00AF2B99"/>
    <w:rsid w:val="00B67B55"/>
    <w:rsid w:val="00BC1880"/>
    <w:rsid w:val="00C54CEF"/>
    <w:rsid w:val="00D2535C"/>
    <w:rsid w:val="00D27DE6"/>
    <w:rsid w:val="00D32F25"/>
    <w:rsid w:val="00D461C2"/>
    <w:rsid w:val="00DF0FC5"/>
    <w:rsid w:val="00DF1D53"/>
    <w:rsid w:val="00E7710D"/>
    <w:rsid w:val="00E83D6F"/>
    <w:rsid w:val="00EE0B1B"/>
    <w:rsid w:val="00EF455C"/>
    <w:rsid w:val="00F311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749D40-6EDF-4CC3-9E4C-B3AE78D4C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3B9"/>
    <w:rPr>
      <w:kern w:val="2"/>
      <w14:ligatures w14:val="standardContextual"/>
    </w:rPr>
  </w:style>
  <w:style w:type="paragraph" w:styleId="1">
    <w:name w:val="heading 1"/>
    <w:basedOn w:val="a"/>
    <w:next w:val="a"/>
    <w:link w:val="10"/>
    <w:uiPriority w:val="9"/>
    <w:qFormat/>
    <w:rsid w:val="008513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13B9"/>
    <w:rPr>
      <w:rFonts w:asciiTheme="majorHAnsi" w:eastAsiaTheme="majorEastAsia" w:hAnsiTheme="majorHAnsi" w:cstheme="majorBidi"/>
      <w:color w:val="2E74B5" w:themeColor="accent1" w:themeShade="BF"/>
      <w:kern w:val="2"/>
      <w:sz w:val="32"/>
      <w:szCs w:val="32"/>
      <w14:ligatures w14:val="standardContextual"/>
    </w:rPr>
  </w:style>
  <w:style w:type="character" w:styleId="a3">
    <w:name w:val="Hyperlink"/>
    <w:basedOn w:val="a0"/>
    <w:uiPriority w:val="99"/>
    <w:unhideWhenUsed/>
    <w:rsid w:val="008513B9"/>
    <w:rPr>
      <w:color w:val="0000FF"/>
      <w:u w:val="single"/>
    </w:rPr>
  </w:style>
  <w:style w:type="paragraph" w:styleId="HTML">
    <w:name w:val="HTML Preformatted"/>
    <w:basedOn w:val="a"/>
    <w:link w:val="HTML0"/>
    <w:uiPriority w:val="99"/>
    <w:unhideWhenUsed/>
    <w:rsid w:val="00851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uk-UA"/>
      <w14:ligatures w14:val="none"/>
    </w:rPr>
  </w:style>
  <w:style w:type="character" w:customStyle="1" w:styleId="HTML0">
    <w:name w:val="Стандартний HTML Знак"/>
    <w:basedOn w:val="a0"/>
    <w:link w:val="HTML"/>
    <w:uiPriority w:val="99"/>
    <w:rsid w:val="008513B9"/>
    <w:rPr>
      <w:rFonts w:ascii="Courier New" w:eastAsia="Times New Roman" w:hAnsi="Courier New" w:cs="Courier New"/>
      <w:sz w:val="20"/>
      <w:szCs w:val="20"/>
      <w:lang w:eastAsia="uk-UA"/>
    </w:rPr>
  </w:style>
  <w:style w:type="character" w:styleId="a4">
    <w:name w:val="annotation reference"/>
    <w:basedOn w:val="a0"/>
    <w:uiPriority w:val="99"/>
    <w:semiHidden/>
    <w:unhideWhenUsed/>
    <w:rsid w:val="008513B9"/>
    <w:rPr>
      <w:sz w:val="16"/>
      <w:szCs w:val="16"/>
    </w:rPr>
  </w:style>
  <w:style w:type="paragraph" w:styleId="a5">
    <w:name w:val="annotation text"/>
    <w:basedOn w:val="a"/>
    <w:link w:val="a6"/>
    <w:uiPriority w:val="99"/>
    <w:unhideWhenUsed/>
    <w:rsid w:val="008513B9"/>
    <w:pPr>
      <w:spacing w:line="240" w:lineRule="auto"/>
    </w:pPr>
    <w:rPr>
      <w:sz w:val="20"/>
      <w:szCs w:val="20"/>
    </w:rPr>
  </w:style>
  <w:style w:type="character" w:customStyle="1" w:styleId="a6">
    <w:name w:val="Текст примітки Знак"/>
    <w:basedOn w:val="a0"/>
    <w:link w:val="a5"/>
    <w:uiPriority w:val="99"/>
    <w:rsid w:val="008513B9"/>
    <w:rPr>
      <w:kern w:val="2"/>
      <w:sz w:val="20"/>
      <w:szCs w:val="20"/>
      <w14:ligatures w14:val="standardContextual"/>
    </w:rPr>
  </w:style>
  <w:style w:type="paragraph" w:styleId="a7">
    <w:name w:val="annotation subject"/>
    <w:basedOn w:val="a5"/>
    <w:next w:val="a5"/>
    <w:link w:val="a8"/>
    <w:uiPriority w:val="99"/>
    <w:semiHidden/>
    <w:unhideWhenUsed/>
    <w:rsid w:val="008513B9"/>
    <w:rPr>
      <w:b/>
      <w:bCs/>
    </w:rPr>
  </w:style>
  <w:style w:type="character" w:customStyle="1" w:styleId="a8">
    <w:name w:val="Тема примітки Знак"/>
    <w:basedOn w:val="a6"/>
    <w:link w:val="a7"/>
    <w:uiPriority w:val="99"/>
    <w:semiHidden/>
    <w:rsid w:val="008513B9"/>
    <w:rPr>
      <w:b/>
      <w:bCs/>
      <w:kern w:val="2"/>
      <w:sz w:val="20"/>
      <w:szCs w:val="20"/>
      <w14:ligatures w14:val="standardContextual"/>
    </w:rPr>
  </w:style>
  <w:style w:type="paragraph" w:styleId="a9">
    <w:name w:val="List Paragraph"/>
    <w:basedOn w:val="a"/>
    <w:uiPriority w:val="34"/>
    <w:qFormat/>
    <w:rsid w:val="008513B9"/>
    <w:pPr>
      <w:ind w:left="720"/>
      <w:contextualSpacing/>
    </w:pPr>
  </w:style>
  <w:style w:type="paragraph" w:customStyle="1" w:styleId="xfmc3">
    <w:name w:val="xfmc3"/>
    <w:basedOn w:val="a"/>
    <w:rsid w:val="008513B9"/>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xfm29842729">
    <w:name w:val="xfm_29842729"/>
    <w:basedOn w:val="a0"/>
    <w:rsid w:val="008513B9"/>
  </w:style>
  <w:style w:type="character" w:customStyle="1" w:styleId="xfm44419322">
    <w:name w:val="xfm_44419322"/>
    <w:basedOn w:val="a0"/>
    <w:rsid w:val="008513B9"/>
  </w:style>
  <w:style w:type="character" w:customStyle="1" w:styleId="xfm30874256">
    <w:name w:val="xfm_30874256"/>
    <w:basedOn w:val="a0"/>
    <w:rsid w:val="008513B9"/>
  </w:style>
  <w:style w:type="character" w:customStyle="1" w:styleId="xfm73480402">
    <w:name w:val="xfm_73480402"/>
    <w:basedOn w:val="a0"/>
    <w:rsid w:val="008513B9"/>
  </w:style>
  <w:style w:type="character" w:customStyle="1" w:styleId="xfm08968064">
    <w:name w:val="xfm_08968064"/>
    <w:basedOn w:val="a0"/>
    <w:rsid w:val="008513B9"/>
  </w:style>
  <w:style w:type="character" w:customStyle="1" w:styleId="xfm75460957">
    <w:name w:val="xfm_75460957"/>
    <w:basedOn w:val="a0"/>
    <w:rsid w:val="008513B9"/>
  </w:style>
  <w:style w:type="character" w:customStyle="1" w:styleId="xfm21767779">
    <w:name w:val="xfm_21767779"/>
    <w:basedOn w:val="a0"/>
    <w:rsid w:val="008513B9"/>
  </w:style>
  <w:style w:type="character" w:customStyle="1" w:styleId="xfm85765079">
    <w:name w:val="xfm_85765079"/>
    <w:basedOn w:val="a0"/>
    <w:rsid w:val="008513B9"/>
  </w:style>
  <w:style w:type="character" w:customStyle="1" w:styleId="xfm67312235">
    <w:name w:val="xfm_67312235"/>
    <w:basedOn w:val="a0"/>
    <w:rsid w:val="008513B9"/>
  </w:style>
  <w:style w:type="paragraph" w:styleId="aa">
    <w:name w:val="Normal (Web)"/>
    <w:basedOn w:val="a"/>
    <w:uiPriority w:val="99"/>
    <w:unhideWhenUsed/>
    <w:rsid w:val="008513B9"/>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xfmc5">
    <w:name w:val="xfmc5"/>
    <w:basedOn w:val="a0"/>
    <w:rsid w:val="008513B9"/>
  </w:style>
  <w:style w:type="character" w:styleId="ab">
    <w:name w:val="Emphasis"/>
    <w:basedOn w:val="a0"/>
    <w:uiPriority w:val="20"/>
    <w:qFormat/>
    <w:rsid w:val="008513B9"/>
    <w:rPr>
      <w:i/>
      <w:iCs/>
    </w:rPr>
  </w:style>
  <w:style w:type="character" w:customStyle="1" w:styleId="11">
    <w:name w:val="Незакрита згадка1"/>
    <w:basedOn w:val="a0"/>
    <w:uiPriority w:val="99"/>
    <w:semiHidden/>
    <w:unhideWhenUsed/>
    <w:rsid w:val="008513B9"/>
    <w:rPr>
      <w:color w:val="605E5C"/>
      <w:shd w:val="clear" w:color="auto" w:fill="E1DFDD"/>
    </w:rPr>
  </w:style>
  <w:style w:type="paragraph" w:styleId="ac">
    <w:name w:val="footnote text"/>
    <w:aliases w:val="Знак"/>
    <w:basedOn w:val="a"/>
    <w:link w:val="ad"/>
    <w:uiPriority w:val="99"/>
    <w:rsid w:val="008513B9"/>
    <w:pPr>
      <w:spacing w:after="0" w:line="240" w:lineRule="auto"/>
    </w:pPr>
    <w:rPr>
      <w:rFonts w:ascii="Times New Roman" w:eastAsia="Times New Roman" w:hAnsi="Times New Roman" w:cs="Times New Roman"/>
      <w:kern w:val="0"/>
      <w:sz w:val="20"/>
      <w:szCs w:val="20"/>
      <w:lang w:val="ru-RU"/>
      <w14:ligatures w14:val="none"/>
    </w:rPr>
  </w:style>
  <w:style w:type="character" w:customStyle="1" w:styleId="ad">
    <w:name w:val="Текст виноски Знак"/>
    <w:aliases w:val="Знак Знак"/>
    <w:basedOn w:val="a0"/>
    <w:link w:val="ac"/>
    <w:uiPriority w:val="99"/>
    <w:rsid w:val="008513B9"/>
    <w:rPr>
      <w:rFonts w:ascii="Times New Roman" w:eastAsia="Times New Roman" w:hAnsi="Times New Roman" w:cs="Times New Roman"/>
      <w:sz w:val="20"/>
      <w:szCs w:val="20"/>
      <w:lang w:val="ru-RU"/>
    </w:rPr>
  </w:style>
  <w:style w:type="character" w:styleId="ae">
    <w:name w:val="footnote reference"/>
    <w:basedOn w:val="a0"/>
    <w:uiPriority w:val="99"/>
    <w:rsid w:val="008513B9"/>
    <w:rPr>
      <w:rFonts w:cs="Times New Roman"/>
      <w:vertAlign w:val="superscript"/>
    </w:rPr>
  </w:style>
  <w:style w:type="character" w:styleId="af">
    <w:name w:val="FollowedHyperlink"/>
    <w:basedOn w:val="a0"/>
    <w:uiPriority w:val="99"/>
    <w:semiHidden/>
    <w:unhideWhenUsed/>
    <w:rsid w:val="008513B9"/>
    <w:rPr>
      <w:color w:val="954F72" w:themeColor="followedHyperlink"/>
      <w:u w:val="single"/>
    </w:rPr>
  </w:style>
  <w:style w:type="character" w:customStyle="1" w:styleId="UnresolvedMention">
    <w:name w:val="Unresolved Mention"/>
    <w:basedOn w:val="a0"/>
    <w:uiPriority w:val="99"/>
    <w:semiHidden/>
    <w:unhideWhenUsed/>
    <w:rsid w:val="00851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lovo.nsj.gov.ua/index.php/ua/arkhiv-nomeriv/2017/3-20-2017/14-arh-2017/261-verkhovenstvo-prava-novij-starij-printsip-tsivilnogo-sudochinstva-spivvidnoshennya-iz-printsipom-zakonnosti" TargetMode="External"/><Relationship Id="rId18" Type="http://schemas.openxmlformats.org/officeDocument/2006/relationships/hyperlink" Target="https://supreme.court.gov.ua/userfiles/media/new_folder_for_uploads/supreme/kas_rish/Zbirnik_tez_6_konferen_6_07_2023.pdf" TargetMode="External"/><Relationship Id="rId26" Type="http://schemas.openxmlformats.org/officeDocument/2006/relationships/hyperlink" Target="http://zakon1.rada.gov.ua/cgi-bin/laws/main.cgi?nreg=270%2F95" TargetMode="External"/><Relationship Id="rId39" Type="http://schemas.openxmlformats.org/officeDocument/2006/relationships/hyperlink" Target="https://reyestr.court.gov.ua/Review/105852864" TargetMode="External"/><Relationship Id="rId21" Type="http://schemas.openxmlformats.org/officeDocument/2006/relationships/hyperlink" Target="https://www.venice.coe.int/webforms/documents/default.aspx?pdffile=CDL-AD(2011)003rev2-ukr" TargetMode="External"/><Relationship Id="rId34" Type="http://schemas.openxmlformats.org/officeDocument/2006/relationships/hyperlink" Target="https://zakon.rada.gov.ua/laws/show/v006p710-23" TargetMode="External"/><Relationship Id="rId42" Type="http://schemas.openxmlformats.org/officeDocument/2006/relationships/hyperlink" Target="https://hcj.gov.ua/doc/doc/398" TargetMode="External"/><Relationship Id="rId47" Type="http://schemas.openxmlformats.org/officeDocument/2006/relationships/hyperlink" Target="https://reyestr.court.gov.ua/Review/84329654" TargetMode="External"/><Relationship Id="rId50" Type="http://schemas.openxmlformats.org/officeDocument/2006/relationships/hyperlink" Target="https://hudoc.echr.coe.int/rus" TargetMode="External"/><Relationship Id="rId55" Type="http://schemas.openxmlformats.org/officeDocument/2006/relationships/hyperlink" Target="https://supreme.justia.com/cases/federal/us/95/571" TargetMode="External"/><Relationship Id="rId7" Type="http://schemas.openxmlformats.org/officeDocument/2006/relationships/hyperlink" Target="https://constitutionalist.com.ua/osoblyvosti-zastosuvannia-kryteriiu-iakosti-zakonu-pid-chas-vyrishennia-publichno-pravovykh-sporiv/" TargetMode="External"/><Relationship Id="rId2" Type="http://schemas.openxmlformats.org/officeDocument/2006/relationships/numbering" Target="numbering.xml"/><Relationship Id="rId16" Type="http://schemas.openxmlformats.org/officeDocument/2006/relationships/hyperlink" Target="https://dspace.lvduvs.edu.ua/handle/1234567890/4092" TargetMode="External"/><Relationship Id="rId29" Type="http://schemas.openxmlformats.org/officeDocument/2006/relationships/hyperlink" Target="https://reyestr.court.gov.ua/Review/79557048" TargetMode="External"/><Relationship Id="rId11" Type="http://schemas.openxmlformats.org/officeDocument/2006/relationships/hyperlink" Target="https://dspace.nlu.edu.ua/bitstream/123456789/7456/1/Kaplina_170.pdf" TargetMode="External"/><Relationship Id="rId24" Type="http://schemas.openxmlformats.org/officeDocument/2006/relationships/hyperlink" Target="https://zakon.rada.gov.ua/laws/show/1861-17" TargetMode="External"/><Relationship Id="rId32" Type="http://schemas.openxmlformats.org/officeDocument/2006/relationships/hyperlink" Target="https://constitutionalist.com.ua/sudovyj-zbir-court-fees-konstytutsijna-harantiia-nezalezhnosti-sudu-chy-pereshkoda-u-dostupi-do-pravosuddia-2/" TargetMode="External"/><Relationship Id="rId37" Type="http://schemas.openxmlformats.org/officeDocument/2006/relationships/hyperlink" Target="https://zakon.rada.gov.ua/laws/show/v008p710-22" TargetMode="External"/><Relationship Id="rId40" Type="http://schemas.openxmlformats.org/officeDocument/2006/relationships/hyperlink" Target="https://reyestr.court.gov.ua/Review/85776329" TargetMode="External"/><Relationship Id="rId45" Type="http://schemas.openxmlformats.org/officeDocument/2006/relationships/hyperlink" Target="https://reyestr.court.gov.ua/Review/97284144" TargetMode="External"/><Relationship Id="rId53" Type="http://schemas.openxmlformats.org/officeDocument/2006/relationships/hyperlink" Target="https://www.osce.org/sites/default/files/f/documents/f/e/106527.pdf"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constitutionalist.com.ua/pryntsyp-zakonnosti-iak-odyn-iz-elementiv-verkhovenstva-prava-osoblyvosti-zastosuvannia-pid-chas-vyrishennia-sotsialnykh-sporiv" TargetMode="External"/><Relationship Id="rId4" Type="http://schemas.openxmlformats.org/officeDocument/2006/relationships/settings" Target="settings.xml"/><Relationship Id="rId9" Type="http://schemas.openxmlformats.org/officeDocument/2006/relationships/hyperlink" Target="https://constitutionalist.com.ua/zastosuvannia-pryntsypu-verkhovenstva-prava-pravovladdia-dlia-vyrishennia-kolizij-u-zakonodavstvi/" TargetMode="External"/><Relationship Id="rId14" Type="http://schemas.openxmlformats.org/officeDocument/2006/relationships/hyperlink" Target="https://pravo.ua/doktryna-norm-priamoi-diikonstytutsii-ukrainy-pravozastosuvannia" TargetMode="External"/><Relationship Id="rId22" Type="http://schemas.openxmlformats.org/officeDocument/2006/relationships/hyperlink" Target="https://ccu.gov.ua/library/mirylo-pravovladdya-komentar-glosariy-rule-law-checklist" TargetMode="External"/><Relationship Id="rId27" Type="http://schemas.openxmlformats.org/officeDocument/2006/relationships/hyperlink" Target="https://zakon.rada.gov.ua/laws/show/950-2007-%D0%BF" TargetMode="External"/><Relationship Id="rId30" Type="http://schemas.openxmlformats.org/officeDocument/2006/relationships/hyperlink" Target="https://reyestr.court.gov.ua/Review/88495269" TargetMode="External"/><Relationship Id="rId35" Type="http://schemas.openxmlformats.org/officeDocument/2006/relationships/hyperlink" Target="https://zakon.rada.gov.ua/laws/show/v002p710-18" TargetMode="External"/><Relationship Id="rId43" Type="http://schemas.openxmlformats.org/officeDocument/2006/relationships/hyperlink" Target="https://sud.ua/ru/news/blog/187456-nesplata-yedinogo-vnesku-zvilnennya-vid-vidpovidalnosti?fbclid=iwar2wndmk67pylqocyufxfkg7gcb1xvxbam0fs_x6ae_axtv8dtfb59ot9vo" TargetMode="External"/><Relationship Id="rId48" Type="http://schemas.openxmlformats.org/officeDocument/2006/relationships/hyperlink" Target="https://hudoc.echr.coe.int/eng" TargetMode="External"/><Relationship Id="rId56" Type="http://schemas.openxmlformats.org/officeDocument/2006/relationships/hyperlink" Target="https://constitutionalist.com.ua/evolution-of-the-principles-of-administrative-proceedings-past-present-and-future" TargetMode="External"/><Relationship Id="rId8" Type="http://schemas.openxmlformats.org/officeDocument/2006/relationships/hyperlink" Target="https://supreme.court.gov.ua/userfiles/media/new_folder_for_uploads/supreme/kas_rish/Zbirnik_tez_6_konferen_6_07_2023.pdf" TargetMode="External"/><Relationship Id="rId51" Type="http://schemas.openxmlformats.org/officeDocument/2006/relationships/hyperlink" Target="https://www.echr.com.ua/document/visnovok-shhodo-zmin-do-zakonodavchix-aktiv-yaki-regulyuyut-status-verxovnogo-sudu-ta-organiv-suddivskogo-vryaduvannya/" TargetMode="External"/><Relationship Id="rId3" Type="http://schemas.openxmlformats.org/officeDocument/2006/relationships/styles" Target="styles.xml"/><Relationship Id="rId12" Type="http://schemas.openxmlformats.org/officeDocument/2006/relationships/hyperlink" Target="https://yurincom.com/files/contents/suddivskij-rozsud-sudova-pomilka-ta-suddivske-svavillya-cherez-prizmu-yuridichnoi-vidpovidalnosti-suddiv.pdf?srsltid=AfmBOor5ifVhi18QmNfdZeoD-VXSoxkDsqqSadhpJUyHjgkDXg2CNqSk" TargetMode="External"/><Relationship Id="rId17" Type="http://schemas.openxmlformats.org/officeDocument/2006/relationships/hyperlink" Target="https://zakon.rada.gov.ua/laws/show/64/2022" TargetMode="External"/><Relationship Id="rId25" Type="http://schemas.openxmlformats.org/officeDocument/2006/relationships/hyperlink" Target="https://zakon.rada.gov.ua/laws/show/970/2006" TargetMode="External"/><Relationship Id="rId33" Type="http://schemas.openxmlformats.org/officeDocument/2006/relationships/hyperlink" Target="https://zakon.rada.gov.ua/laws/show/v017p710-11" TargetMode="External"/><Relationship Id="rId38" Type="http://schemas.openxmlformats.org/officeDocument/2006/relationships/hyperlink" Target="https://reyestr.court.gov.ua/Review/100428590" TargetMode="External"/><Relationship Id="rId46" Type="http://schemas.openxmlformats.org/officeDocument/2006/relationships/hyperlink" Target="https://reyestr.court.gov.ua/Review/57490109" TargetMode="External"/><Relationship Id="rId59" Type="http://schemas.openxmlformats.org/officeDocument/2006/relationships/theme" Target="theme/theme1.xml"/><Relationship Id="rId20" Type="http://schemas.openxmlformats.org/officeDocument/2006/relationships/hyperlink" Target="https://constitutionalist.com.ua/suddivskyj-aktyvizm-i-pravovyj-monitorynh-iak-verkhovnyj-sud-vplyvaie-na-iakist-zakonodavstva" TargetMode="External"/><Relationship Id="rId41" Type="http://schemas.openxmlformats.org/officeDocument/2006/relationships/hyperlink" Target="https://reyestr.court.gov.ua/Review/96406949" TargetMode="External"/><Relationship Id="rId54" Type="http://schemas.openxmlformats.org/officeDocument/2006/relationships/hyperlink" Target="https://zakon.rada.gov.ua/laws/show/995_118" TargetMode="External"/><Relationship Id="rId1" Type="http://schemas.openxmlformats.org/officeDocument/2006/relationships/customXml" Target="../customXml/item1.xml"/><Relationship Id="rId6" Type="http://schemas.openxmlformats.org/officeDocument/2006/relationships/hyperlink" Target="https://mail.ukr.net/desktop" TargetMode="External"/><Relationship Id="rId15" Type="http://schemas.openxmlformats.org/officeDocument/2006/relationships/hyperlink" Target="http://visnyk-pravo.uzhnu.edu.ua/article/view/321412" TargetMode="External"/><Relationship Id="rId23" Type="http://schemas.openxmlformats.org/officeDocument/2006/relationships/hyperlink" Target="https://zakon.rada.gov.ua/laws/show/3354-20" TargetMode="External"/><Relationship Id="rId28" Type="http://schemas.openxmlformats.org/officeDocument/2006/relationships/hyperlink" Target="https://reyestr.court.gov.ua/Review/78026078" TargetMode="External"/><Relationship Id="rId36" Type="http://schemas.openxmlformats.org/officeDocument/2006/relationships/hyperlink" Target="https://zakon.rada.gov.ua/laws/show/v009p710-18" TargetMode="External"/><Relationship Id="rId49" Type="http://schemas.openxmlformats.org/officeDocument/2006/relationships/hyperlink" Target="https://hudoc.echr.coe.int/ukr" TargetMode="External"/><Relationship Id="rId57" Type="http://schemas.openxmlformats.org/officeDocument/2006/relationships/hyperlink" Target="https://court.gov.ua/eng/supreme/pres-centr/news/1891488" TargetMode="External"/><Relationship Id="rId10" Type="http://schemas.openxmlformats.org/officeDocument/2006/relationships/hyperlink" Target="http://pjv.nuoua.od.ua/v4-1_2019/4.pdf" TargetMode="External"/><Relationship Id="rId31" Type="http://schemas.openxmlformats.org/officeDocument/2006/relationships/hyperlink" Target="https://zakon.rada.gov.ua/laws/show/3674-17" TargetMode="External"/><Relationship Id="rId44" Type="http://schemas.openxmlformats.org/officeDocument/2006/relationships/hyperlink" Target="https://reyestr.court.gov.ua/Review/92334041" TargetMode="External"/><Relationship Id="rId52" Type="http://schemas.openxmlformats.org/officeDocument/2006/relationships/hyperlink" Target="https://rm.coe.int/16807481e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A4D8D-C56D-45C4-ABE0-3BACA8E88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44513</Words>
  <Characters>25373</Characters>
  <Application>Microsoft Office Word</Application>
  <DocSecurity>0</DocSecurity>
  <Lines>211</Lines>
  <Paragraphs>139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 Олександрович Берназюк</dc:creator>
  <cp:keywords/>
  <dc:description/>
  <cp:lastModifiedBy>Ян Олександрович Берназюк</cp:lastModifiedBy>
  <cp:revision>19</cp:revision>
  <dcterms:created xsi:type="dcterms:W3CDTF">2026-01-28T11:41:00Z</dcterms:created>
  <dcterms:modified xsi:type="dcterms:W3CDTF">2026-02-10T09:43:00Z</dcterms:modified>
</cp:coreProperties>
</file>