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07833" w14:textId="77777777" w:rsidR="00A51089" w:rsidRDefault="00A51089" w:rsidP="00E05949">
      <w:pPr>
        <w:spacing w:after="0" w:line="240" w:lineRule="auto"/>
        <w:ind w:firstLine="4678"/>
        <w:jc w:val="both"/>
        <w:rPr>
          <w:rFonts w:ascii="Times New Roman" w:eastAsia="Times New Roman" w:hAnsi="Times New Roman" w:cs="Times New Roman"/>
          <w:b/>
          <w:bCs/>
          <w:color w:val="000000"/>
          <w:sz w:val="28"/>
          <w:szCs w:val="28"/>
          <w:lang w:eastAsia="uk-UA"/>
        </w:rPr>
      </w:pPr>
      <w:r w:rsidRPr="00E05949">
        <w:rPr>
          <w:rFonts w:ascii="Times New Roman" w:eastAsia="Times New Roman" w:hAnsi="Times New Roman" w:cs="Times New Roman"/>
          <w:b/>
          <w:bCs/>
          <w:color w:val="000000"/>
          <w:sz w:val="28"/>
          <w:szCs w:val="28"/>
          <w:lang w:eastAsia="uk-UA"/>
        </w:rPr>
        <w:t>Берназюк І.М.,</w:t>
      </w:r>
    </w:p>
    <w:p w14:paraId="48B6E932" w14:textId="77777777" w:rsidR="00BE3F7F" w:rsidRPr="00BE3F7F" w:rsidRDefault="00BE3F7F" w:rsidP="00BE3F7F">
      <w:pPr>
        <w:spacing w:after="0" w:line="240" w:lineRule="auto"/>
        <w:ind w:firstLine="4678"/>
        <w:jc w:val="both"/>
        <w:rPr>
          <w:rFonts w:ascii="Times New Roman" w:eastAsia="Times New Roman" w:hAnsi="Times New Roman" w:cs="Times New Roman"/>
          <w:color w:val="000000"/>
          <w:sz w:val="28"/>
          <w:szCs w:val="28"/>
          <w:lang w:eastAsia="uk-UA"/>
        </w:rPr>
      </w:pPr>
      <w:r w:rsidRPr="00BE3F7F">
        <w:rPr>
          <w:rFonts w:ascii="Times New Roman" w:eastAsia="Times New Roman" w:hAnsi="Times New Roman" w:cs="Times New Roman"/>
          <w:color w:val="000000"/>
          <w:sz w:val="28"/>
          <w:szCs w:val="28"/>
          <w:lang w:eastAsia="uk-UA"/>
        </w:rPr>
        <w:t>професор кафедри права</w:t>
      </w:r>
    </w:p>
    <w:p w14:paraId="64ED0286" w14:textId="2C1CED0B" w:rsidR="00BE3F7F" w:rsidRPr="00BE3F7F" w:rsidRDefault="00BE3F7F" w:rsidP="00BE3F7F">
      <w:pPr>
        <w:spacing w:after="0" w:line="240" w:lineRule="auto"/>
        <w:ind w:firstLine="4678"/>
        <w:jc w:val="both"/>
        <w:rPr>
          <w:rFonts w:ascii="Times New Roman" w:eastAsia="Times New Roman" w:hAnsi="Times New Roman" w:cs="Times New Roman"/>
          <w:color w:val="000000"/>
          <w:sz w:val="28"/>
          <w:szCs w:val="28"/>
          <w:lang w:eastAsia="uk-UA"/>
        </w:rPr>
      </w:pPr>
      <w:r w:rsidRPr="00BE3F7F">
        <w:rPr>
          <w:rFonts w:ascii="Times New Roman" w:eastAsia="Times New Roman" w:hAnsi="Times New Roman" w:cs="Times New Roman"/>
          <w:color w:val="000000"/>
          <w:sz w:val="28"/>
          <w:szCs w:val="28"/>
          <w:lang w:eastAsia="uk-UA"/>
        </w:rPr>
        <w:t>ПВНЗ «Європейський університет»,</w:t>
      </w:r>
    </w:p>
    <w:p w14:paraId="1C5008F5" w14:textId="77777777" w:rsidR="00A51089" w:rsidRPr="00E05949" w:rsidRDefault="00A51089" w:rsidP="00E05949">
      <w:pPr>
        <w:spacing w:after="0" w:line="240" w:lineRule="auto"/>
        <w:ind w:firstLine="4678"/>
        <w:jc w:val="both"/>
        <w:rPr>
          <w:rFonts w:ascii="Times New Roman" w:eastAsia="Times New Roman" w:hAnsi="Times New Roman" w:cs="Times New Roman"/>
          <w:bCs/>
          <w:color w:val="000000"/>
          <w:sz w:val="28"/>
          <w:szCs w:val="28"/>
          <w:lang w:eastAsia="uk-UA"/>
        </w:rPr>
      </w:pPr>
      <w:r w:rsidRPr="00E05949">
        <w:rPr>
          <w:rFonts w:ascii="Times New Roman" w:eastAsia="Times New Roman" w:hAnsi="Times New Roman" w:cs="Times New Roman"/>
          <w:bCs/>
          <w:color w:val="000000"/>
          <w:sz w:val="28"/>
          <w:szCs w:val="28"/>
          <w:lang w:eastAsia="uk-UA"/>
        </w:rPr>
        <w:t>доктор юридичних наук,</w:t>
      </w:r>
    </w:p>
    <w:p w14:paraId="45745CF8" w14:textId="77777777" w:rsidR="00A51089" w:rsidRPr="00E05949" w:rsidRDefault="00A51089" w:rsidP="00E05949">
      <w:pPr>
        <w:spacing w:after="0" w:line="240" w:lineRule="auto"/>
        <w:ind w:firstLine="4678"/>
        <w:jc w:val="both"/>
        <w:rPr>
          <w:rFonts w:ascii="Times New Roman" w:eastAsia="Times New Roman" w:hAnsi="Times New Roman" w:cs="Times New Roman"/>
          <w:bCs/>
          <w:color w:val="000000"/>
          <w:sz w:val="28"/>
          <w:szCs w:val="28"/>
          <w:lang w:eastAsia="uk-UA"/>
        </w:rPr>
      </w:pPr>
      <w:r w:rsidRPr="00E05949">
        <w:rPr>
          <w:rFonts w:ascii="Times New Roman" w:eastAsia="Times New Roman" w:hAnsi="Times New Roman" w:cs="Times New Roman"/>
          <w:bCs/>
          <w:color w:val="000000"/>
          <w:sz w:val="28"/>
          <w:szCs w:val="28"/>
          <w:lang w:eastAsia="uk-UA"/>
        </w:rPr>
        <w:t>Заслужений юрист України</w:t>
      </w:r>
    </w:p>
    <w:p w14:paraId="1C1F7841" w14:textId="77777777" w:rsidR="00A51089" w:rsidRPr="00E05949" w:rsidRDefault="00A51089" w:rsidP="00E05949">
      <w:pPr>
        <w:spacing w:after="0" w:line="240" w:lineRule="auto"/>
        <w:ind w:firstLine="4678"/>
        <w:jc w:val="both"/>
        <w:rPr>
          <w:rFonts w:ascii="Times New Roman" w:eastAsia="Times New Roman" w:hAnsi="Times New Roman" w:cs="Times New Roman"/>
          <w:bCs/>
          <w:color w:val="000000"/>
          <w:sz w:val="28"/>
          <w:szCs w:val="28"/>
          <w:lang w:eastAsia="uk-UA"/>
        </w:rPr>
      </w:pPr>
      <w:r w:rsidRPr="00E05949">
        <w:rPr>
          <w:rFonts w:ascii="Times New Roman" w:eastAsia="Times New Roman" w:hAnsi="Times New Roman" w:cs="Times New Roman"/>
          <w:bCs/>
          <w:color w:val="000000"/>
          <w:sz w:val="28"/>
          <w:szCs w:val="28"/>
          <w:lang w:eastAsia="uk-UA"/>
        </w:rPr>
        <w:t>ORCID: 0000-0002-8460-2687</w:t>
      </w:r>
    </w:p>
    <w:p w14:paraId="3B187FC1" w14:textId="77777777" w:rsidR="00BE3F7F" w:rsidRDefault="00A51089" w:rsidP="00BE3F7F">
      <w:pPr>
        <w:spacing w:after="0" w:line="240" w:lineRule="auto"/>
        <w:ind w:firstLine="4678"/>
        <w:jc w:val="both"/>
        <w:rPr>
          <w:rFonts w:ascii="Times New Roman" w:eastAsia="Times New Roman" w:hAnsi="Times New Roman" w:cs="Times New Roman"/>
          <w:b/>
          <w:bCs/>
          <w:color w:val="000000"/>
          <w:sz w:val="28"/>
          <w:szCs w:val="28"/>
          <w:lang w:eastAsia="uk-UA"/>
        </w:rPr>
      </w:pPr>
      <w:r w:rsidRPr="00E05949">
        <w:rPr>
          <w:rFonts w:ascii="Times New Roman" w:eastAsia="Times New Roman" w:hAnsi="Times New Roman" w:cs="Times New Roman"/>
          <w:bCs/>
          <w:color w:val="000000"/>
          <w:sz w:val="28"/>
          <w:szCs w:val="28"/>
          <w:lang w:eastAsia="uk-UA"/>
        </w:rPr>
        <w:t xml:space="preserve">e-mail: </w:t>
      </w:r>
      <w:hyperlink r:id="rId5" w:history="1">
        <w:r w:rsidRPr="00E05949">
          <w:rPr>
            <w:rStyle w:val="a4"/>
            <w:rFonts w:ascii="Times New Roman" w:eastAsia="Times New Roman" w:hAnsi="Times New Roman" w:cs="Times New Roman"/>
            <w:bCs/>
            <w:sz w:val="28"/>
            <w:szCs w:val="28"/>
            <w:lang w:eastAsia="uk-UA"/>
          </w:rPr>
          <w:t>innabernaziuk@gmail.com</w:t>
        </w:r>
      </w:hyperlink>
      <w:r w:rsidR="00BE3F7F" w:rsidRPr="00BE3F7F">
        <w:rPr>
          <w:rFonts w:ascii="Times New Roman" w:eastAsia="Times New Roman" w:hAnsi="Times New Roman" w:cs="Times New Roman"/>
          <w:b/>
          <w:bCs/>
          <w:color w:val="000000"/>
          <w:sz w:val="28"/>
          <w:szCs w:val="28"/>
          <w:lang w:eastAsia="uk-UA"/>
        </w:rPr>
        <w:t xml:space="preserve"> </w:t>
      </w:r>
    </w:p>
    <w:p w14:paraId="17B969B1" w14:textId="43E4C9A4" w:rsidR="00BE3F7F" w:rsidRPr="00BE3F7F" w:rsidRDefault="00BE3F7F" w:rsidP="00BE3F7F">
      <w:pPr>
        <w:spacing w:after="0" w:line="240" w:lineRule="auto"/>
        <w:ind w:firstLine="4678"/>
        <w:jc w:val="both"/>
        <w:rPr>
          <w:rFonts w:ascii="Times New Roman" w:eastAsia="Times New Roman" w:hAnsi="Times New Roman" w:cs="Times New Roman"/>
          <w:color w:val="000000"/>
          <w:sz w:val="28"/>
          <w:szCs w:val="28"/>
          <w:lang w:eastAsia="uk-UA"/>
        </w:rPr>
      </w:pPr>
      <w:r w:rsidRPr="00BE3F7F">
        <w:rPr>
          <w:rFonts w:ascii="Times New Roman" w:eastAsia="Times New Roman" w:hAnsi="Times New Roman" w:cs="Times New Roman"/>
          <w:color w:val="000000"/>
          <w:sz w:val="28"/>
          <w:szCs w:val="28"/>
          <w:lang w:eastAsia="uk-UA"/>
        </w:rPr>
        <w:t>УДК: 342.4:342.9:343.35:004.8</w:t>
      </w:r>
    </w:p>
    <w:p w14:paraId="7E550723" w14:textId="3F186B71" w:rsidR="00A51089" w:rsidRPr="00E05949" w:rsidRDefault="00A51089" w:rsidP="00E05949">
      <w:pPr>
        <w:spacing w:after="0" w:line="240" w:lineRule="auto"/>
        <w:ind w:firstLine="4678"/>
        <w:jc w:val="both"/>
        <w:rPr>
          <w:rFonts w:ascii="Times New Roman" w:eastAsia="Times New Roman" w:hAnsi="Times New Roman" w:cs="Times New Roman"/>
          <w:bCs/>
          <w:color w:val="000000"/>
          <w:sz w:val="28"/>
          <w:szCs w:val="28"/>
          <w:lang w:eastAsia="uk-UA"/>
        </w:rPr>
      </w:pPr>
    </w:p>
    <w:p w14:paraId="1EFFCC64" w14:textId="77777777" w:rsidR="00A51089" w:rsidRPr="00E05949" w:rsidRDefault="00A51089" w:rsidP="00E05949">
      <w:pPr>
        <w:spacing w:after="0" w:line="360" w:lineRule="auto"/>
        <w:ind w:firstLine="284"/>
        <w:jc w:val="both"/>
        <w:rPr>
          <w:rFonts w:ascii="Times New Roman" w:hAnsi="Times New Roman" w:cs="Times New Roman"/>
          <w:sz w:val="28"/>
          <w:szCs w:val="28"/>
        </w:rPr>
      </w:pPr>
    </w:p>
    <w:p w14:paraId="5650E9C6" w14:textId="77777777" w:rsidR="00E85680" w:rsidRPr="00E05949" w:rsidRDefault="00E85680" w:rsidP="00E05949">
      <w:pPr>
        <w:spacing w:after="0" w:line="360" w:lineRule="auto"/>
        <w:ind w:firstLine="284"/>
        <w:jc w:val="center"/>
        <w:rPr>
          <w:rFonts w:ascii="Times New Roman" w:hAnsi="Times New Roman" w:cs="Times New Roman"/>
          <w:b/>
          <w:sz w:val="28"/>
          <w:szCs w:val="28"/>
        </w:rPr>
      </w:pPr>
      <w:r w:rsidRPr="00E05949">
        <w:rPr>
          <w:rFonts w:ascii="Times New Roman" w:hAnsi="Times New Roman" w:cs="Times New Roman"/>
          <w:b/>
          <w:sz w:val="28"/>
          <w:szCs w:val="28"/>
        </w:rPr>
        <w:t xml:space="preserve">ШТУЧНИЙ ІНТЕЛЕКТ У </w:t>
      </w:r>
      <w:r w:rsidR="00507439" w:rsidRPr="00507439">
        <w:rPr>
          <w:rFonts w:ascii="Times New Roman" w:hAnsi="Times New Roman" w:cs="Times New Roman"/>
          <w:b/>
          <w:sz w:val="28"/>
          <w:szCs w:val="28"/>
        </w:rPr>
        <w:t>ФУНКЦІОНУВАНН</w:t>
      </w:r>
      <w:r w:rsidR="00507439">
        <w:rPr>
          <w:rFonts w:ascii="Times New Roman" w:hAnsi="Times New Roman" w:cs="Times New Roman"/>
          <w:b/>
          <w:sz w:val="28"/>
          <w:szCs w:val="28"/>
        </w:rPr>
        <w:t xml:space="preserve">І </w:t>
      </w:r>
      <w:r w:rsidRPr="00E05949">
        <w:rPr>
          <w:rFonts w:ascii="Times New Roman" w:hAnsi="Times New Roman" w:cs="Times New Roman"/>
          <w:b/>
          <w:sz w:val="28"/>
          <w:szCs w:val="28"/>
        </w:rPr>
        <w:t>ІНСТИТУТУ ЛОБІЮВАННЯ В УКРАЇНІ: КОНСТИТУЦІЙНІ ЗАСАДИ ПРОЗОРОСТІ ТА ЗАПОБІГАННЯ НЕПРАВОМІРНОМУ ВПЛИВУ</w:t>
      </w:r>
    </w:p>
    <w:p w14:paraId="79253BC6" w14:textId="77777777" w:rsidR="00E85680" w:rsidRPr="00E05949" w:rsidRDefault="00E85680" w:rsidP="00E05949">
      <w:pPr>
        <w:spacing w:after="0" w:line="360" w:lineRule="auto"/>
        <w:ind w:firstLine="284"/>
        <w:jc w:val="both"/>
        <w:rPr>
          <w:rFonts w:ascii="Times New Roman" w:hAnsi="Times New Roman" w:cs="Times New Roman"/>
          <w:sz w:val="28"/>
          <w:szCs w:val="28"/>
        </w:rPr>
      </w:pPr>
    </w:p>
    <w:p w14:paraId="24731BE2" w14:textId="77777777" w:rsidR="00E85680" w:rsidRPr="00E05949" w:rsidRDefault="008F6E25"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У статті здійснено конституційно-правовий аналіз </w:t>
      </w:r>
      <w:r w:rsidR="00E85680" w:rsidRPr="00E05949">
        <w:rPr>
          <w:rFonts w:ascii="Times New Roman" w:hAnsi="Times New Roman" w:cs="Times New Roman"/>
          <w:sz w:val="28"/>
          <w:szCs w:val="28"/>
        </w:rPr>
        <w:t xml:space="preserve">можливостей і меж використання штучного інтелекту </w:t>
      </w:r>
      <w:r w:rsidR="001E6B12">
        <w:rPr>
          <w:rFonts w:ascii="Times New Roman" w:hAnsi="Times New Roman" w:cs="Times New Roman"/>
          <w:sz w:val="28"/>
          <w:szCs w:val="28"/>
        </w:rPr>
        <w:t xml:space="preserve">(ШІ) </w:t>
      </w:r>
      <w:r w:rsidR="00E85680" w:rsidRPr="00E05949">
        <w:rPr>
          <w:rFonts w:ascii="Times New Roman" w:hAnsi="Times New Roman" w:cs="Times New Roman"/>
          <w:sz w:val="28"/>
          <w:szCs w:val="28"/>
        </w:rPr>
        <w:t xml:space="preserve">у </w:t>
      </w:r>
      <w:r w:rsidR="003078A6" w:rsidRPr="003078A6">
        <w:rPr>
          <w:rFonts w:ascii="Times New Roman" w:hAnsi="Times New Roman" w:cs="Times New Roman"/>
          <w:sz w:val="28"/>
          <w:szCs w:val="28"/>
        </w:rPr>
        <w:t>функціонуванні</w:t>
      </w:r>
      <w:r w:rsidR="00E85680" w:rsidRPr="00E05949">
        <w:rPr>
          <w:rFonts w:ascii="Times New Roman" w:hAnsi="Times New Roman" w:cs="Times New Roman"/>
          <w:sz w:val="28"/>
          <w:szCs w:val="28"/>
        </w:rPr>
        <w:t xml:space="preserve"> інституту лобіювання в Україні після </w:t>
      </w:r>
      <w:r w:rsidR="00507439">
        <w:rPr>
          <w:rFonts w:ascii="Times New Roman" w:hAnsi="Times New Roman" w:cs="Times New Roman"/>
          <w:sz w:val="28"/>
          <w:szCs w:val="28"/>
        </w:rPr>
        <w:t>введення в дію</w:t>
      </w:r>
      <w:r w:rsidR="00E85680" w:rsidRPr="00E05949">
        <w:rPr>
          <w:rFonts w:ascii="Times New Roman" w:hAnsi="Times New Roman" w:cs="Times New Roman"/>
          <w:sz w:val="28"/>
          <w:szCs w:val="28"/>
        </w:rPr>
        <w:t xml:space="preserve"> Закону України «Про лобіювання». Обґрунтовано, що цифровізація реєстраційних, звітних і </w:t>
      </w:r>
      <w:r w:rsidR="00A170DF">
        <w:rPr>
          <w:rFonts w:ascii="Times New Roman" w:hAnsi="Times New Roman" w:cs="Times New Roman"/>
          <w:sz w:val="28"/>
          <w:szCs w:val="28"/>
        </w:rPr>
        <w:t>контрольних</w:t>
      </w:r>
      <w:r w:rsidR="00E85680" w:rsidRPr="00E05949">
        <w:rPr>
          <w:rFonts w:ascii="Times New Roman" w:hAnsi="Times New Roman" w:cs="Times New Roman"/>
          <w:sz w:val="28"/>
          <w:szCs w:val="28"/>
        </w:rPr>
        <w:t xml:space="preserve"> процедур, функціонування Реєстру прозорості та відкритість визначеного законом обсягу відомостей створюють передумови для застосування алгоритмічних інструментів у сфері </w:t>
      </w:r>
      <w:r w:rsidR="003078A6" w:rsidRPr="003078A6">
        <w:rPr>
          <w:rFonts w:ascii="Times New Roman" w:hAnsi="Times New Roman" w:cs="Times New Roman"/>
          <w:sz w:val="28"/>
          <w:szCs w:val="28"/>
        </w:rPr>
        <w:t>правомірного</w:t>
      </w:r>
      <w:r w:rsidR="00E85680" w:rsidRPr="00E05949">
        <w:rPr>
          <w:rFonts w:ascii="Times New Roman" w:hAnsi="Times New Roman" w:cs="Times New Roman"/>
          <w:sz w:val="28"/>
          <w:szCs w:val="28"/>
        </w:rPr>
        <w:t xml:space="preserve"> представлення інтересів, однак </w:t>
      </w:r>
      <w:r w:rsidR="00B65274" w:rsidRPr="00B65274">
        <w:rPr>
          <w:rFonts w:ascii="Times New Roman" w:hAnsi="Times New Roman" w:cs="Times New Roman"/>
          <w:sz w:val="28"/>
          <w:szCs w:val="28"/>
        </w:rPr>
        <w:t>не усувають</w:t>
      </w:r>
      <w:r w:rsidR="00B65274">
        <w:rPr>
          <w:rFonts w:ascii="Times New Roman" w:hAnsi="Times New Roman" w:cs="Times New Roman"/>
          <w:sz w:val="28"/>
          <w:szCs w:val="28"/>
        </w:rPr>
        <w:t xml:space="preserve"> </w:t>
      </w:r>
      <w:r w:rsidR="00507439" w:rsidRPr="00507439">
        <w:rPr>
          <w:rFonts w:ascii="Times New Roman" w:hAnsi="Times New Roman" w:cs="Times New Roman"/>
          <w:sz w:val="28"/>
          <w:szCs w:val="28"/>
        </w:rPr>
        <w:t>необхідності забезпечення їх відповідності Конституції України та конституційним принципам</w:t>
      </w:r>
      <w:r w:rsidR="00E85680" w:rsidRPr="00E05949">
        <w:rPr>
          <w:rFonts w:ascii="Times New Roman" w:hAnsi="Times New Roman" w:cs="Times New Roman"/>
          <w:sz w:val="28"/>
          <w:szCs w:val="28"/>
        </w:rPr>
        <w:t>.</w:t>
      </w:r>
    </w:p>
    <w:p w14:paraId="6F0177CD" w14:textId="77777777" w:rsidR="003078A6" w:rsidRDefault="003078A6" w:rsidP="00E05949">
      <w:pPr>
        <w:spacing w:after="0" w:line="360" w:lineRule="auto"/>
        <w:ind w:firstLine="284"/>
        <w:jc w:val="both"/>
        <w:rPr>
          <w:rFonts w:ascii="Times New Roman" w:hAnsi="Times New Roman" w:cs="Times New Roman"/>
          <w:sz w:val="28"/>
          <w:szCs w:val="28"/>
        </w:rPr>
      </w:pPr>
      <w:r w:rsidRPr="003078A6">
        <w:rPr>
          <w:rFonts w:ascii="Times New Roman" w:hAnsi="Times New Roman" w:cs="Times New Roman"/>
          <w:sz w:val="28"/>
          <w:szCs w:val="28"/>
        </w:rPr>
        <w:t xml:space="preserve">Особливу увагу приділено ризикам алгоритмізації оціночних правових категорій, зокрема понять «вплив», «спроба впливу» та «комерційний інтерес», невизначеність яких може призвести до розширення дискреційних повноважень </w:t>
      </w:r>
      <w:r w:rsidR="008468D0" w:rsidRPr="008468D0">
        <w:rPr>
          <w:rFonts w:ascii="Times New Roman" w:hAnsi="Times New Roman" w:cs="Times New Roman"/>
          <w:sz w:val="28"/>
          <w:szCs w:val="28"/>
        </w:rPr>
        <w:t>Національного агентства</w:t>
      </w:r>
      <w:r>
        <w:rPr>
          <w:rFonts w:ascii="Times New Roman" w:hAnsi="Times New Roman" w:cs="Times New Roman"/>
          <w:sz w:val="28"/>
          <w:szCs w:val="28"/>
        </w:rPr>
        <w:t>.</w:t>
      </w:r>
    </w:p>
    <w:p w14:paraId="265DF759"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Доведено, що допустимість використання </w:t>
      </w:r>
      <w:r w:rsidR="001E6B12">
        <w:rPr>
          <w:rFonts w:ascii="Times New Roman" w:hAnsi="Times New Roman" w:cs="Times New Roman"/>
          <w:sz w:val="28"/>
          <w:szCs w:val="28"/>
        </w:rPr>
        <w:t>ШІ</w:t>
      </w:r>
      <w:r w:rsidR="001E6B12"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у зазначеному правовому інституті має визначатися не технологічною ефективністю, а відповідністю принципам верховенства права, юридичної визначеності, пропорційності, заборони свавілля, відкритості публічної інформації, захисту персональних даних, доброчесності публічної процедури та недопущення неправомірного впливу на правотворчу діяльність. </w:t>
      </w:r>
    </w:p>
    <w:p w14:paraId="7DE6DF2E" w14:textId="77777777" w:rsidR="00E85680" w:rsidRPr="00E05949" w:rsidRDefault="008F6E25"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lastRenderedPageBreak/>
        <w:t>Досліджено</w:t>
      </w:r>
      <w:r w:rsidR="00E85680" w:rsidRPr="00E05949">
        <w:rPr>
          <w:rFonts w:ascii="Times New Roman" w:hAnsi="Times New Roman" w:cs="Times New Roman"/>
          <w:sz w:val="28"/>
          <w:szCs w:val="28"/>
        </w:rPr>
        <w:t xml:space="preserve"> значення Реєстру прозорості як цифрового механізму публічної підзвітності лобістської діяльності та </w:t>
      </w:r>
      <w:r w:rsidR="00C116BB" w:rsidRPr="00E05949">
        <w:rPr>
          <w:rFonts w:ascii="Times New Roman" w:hAnsi="Times New Roman" w:cs="Times New Roman"/>
          <w:sz w:val="28"/>
          <w:szCs w:val="28"/>
        </w:rPr>
        <w:t xml:space="preserve">запропоновано розглядати запровадження </w:t>
      </w:r>
      <w:r w:rsidR="00E85680" w:rsidRPr="00E05949">
        <w:rPr>
          <w:rFonts w:ascii="Times New Roman" w:hAnsi="Times New Roman" w:cs="Times New Roman"/>
          <w:sz w:val="28"/>
          <w:szCs w:val="28"/>
        </w:rPr>
        <w:t xml:space="preserve">в українську правотворчу практику інституту </w:t>
      </w:r>
      <w:r w:rsidR="008468D0">
        <w:rPr>
          <w:rFonts w:ascii="Times New Roman" w:hAnsi="Times New Roman" w:cs="Times New Roman"/>
          <w:sz w:val="28"/>
          <w:szCs w:val="28"/>
        </w:rPr>
        <w:t>законодавчого</w:t>
      </w:r>
      <w:r w:rsidR="00E85680" w:rsidRPr="00E05949">
        <w:rPr>
          <w:rFonts w:ascii="Times New Roman" w:hAnsi="Times New Roman" w:cs="Times New Roman"/>
          <w:sz w:val="28"/>
          <w:szCs w:val="28"/>
        </w:rPr>
        <w:t xml:space="preserve"> сліду (</w:t>
      </w:r>
      <w:r w:rsidR="008468D0" w:rsidRPr="008468D0">
        <w:rPr>
          <w:rFonts w:ascii="Times New Roman" w:hAnsi="Times New Roman" w:cs="Times New Roman"/>
          <w:sz w:val="28"/>
          <w:szCs w:val="28"/>
        </w:rPr>
        <w:t>legislative</w:t>
      </w:r>
      <w:r w:rsidR="00E85680" w:rsidRPr="00E05949">
        <w:rPr>
          <w:rFonts w:ascii="Times New Roman" w:hAnsi="Times New Roman" w:cs="Times New Roman"/>
          <w:sz w:val="28"/>
          <w:szCs w:val="28"/>
        </w:rPr>
        <w:t xml:space="preserve"> footprint). </w:t>
      </w:r>
      <w:r w:rsidRPr="00E05949">
        <w:rPr>
          <w:rFonts w:ascii="Times New Roman" w:hAnsi="Times New Roman" w:cs="Times New Roman"/>
          <w:sz w:val="28"/>
          <w:szCs w:val="28"/>
        </w:rPr>
        <w:t>Обґрунтовано</w:t>
      </w:r>
      <w:r w:rsidR="00E85680" w:rsidRPr="00E05949">
        <w:rPr>
          <w:rFonts w:ascii="Times New Roman" w:hAnsi="Times New Roman" w:cs="Times New Roman"/>
          <w:sz w:val="28"/>
          <w:szCs w:val="28"/>
        </w:rPr>
        <w:t xml:space="preserve">, що </w:t>
      </w:r>
      <w:r w:rsidR="001E6B12">
        <w:rPr>
          <w:rFonts w:ascii="Times New Roman" w:hAnsi="Times New Roman" w:cs="Times New Roman"/>
          <w:sz w:val="28"/>
          <w:szCs w:val="28"/>
        </w:rPr>
        <w:t>ШІ</w:t>
      </w:r>
      <w:r w:rsidR="001E6B12" w:rsidRPr="00E05949">
        <w:rPr>
          <w:rFonts w:ascii="Times New Roman" w:hAnsi="Times New Roman" w:cs="Times New Roman"/>
          <w:sz w:val="28"/>
          <w:szCs w:val="28"/>
        </w:rPr>
        <w:t xml:space="preserve"> </w:t>
      </w:r>
      <w:r w:rsidR="00E85680" w:rsidRPr="00E05949">
        <w:rPr>
          <w:rFonts w:ascii="Times New Roman" w:hAnsi="Times New Roman" w:cs="Times New Roman"/>
          <w:sz w:val="28"/>
          <w:szCs w:val="28"/>
        </w:rPr>
        <w:t xml:space="preserve">може використовуватися для аналітичного зіставлення реєстрових даних, відстеження зв’язку між лобістськими комунікаціями і змінами у проєктах нормативно-правових актів, виявлення формальних невідповідностей у звітності та підтримки громадського контролю. </w:t>
      </w:r>
      <w:r w:rsidR="002653D0" w:rsidRPr="00E05949">
        <w:rPr>
          <w:rFonts w:ascii="Times New Roman" w:hAnsi="Times New Roman" w:cs="Times New Roman"/>
          <w:sz w:val="28"/>
          <w:szCs w:val="28"/>
        </w:rPr>
        <w:t>В</w:t>
      </w:r>
      <w:r w:rsidR="00E85680" w:rsidRPr="00E05949">
        <w:rPr>
          <w:rFonts w:ascii="Times New Roman" w:hAnsi="Times New Roman" w:cs="Times New Roman"/>
          <w:sz w:val="28"/>
          <w:szCs w:val="28"/>
        </w:rPr>
        <w:t>ідкритість інформації у сфері лобіювання не може тлумачитися як необмежена можливість автоматизованої обробки всіх пов’язаних із нею даних, оскільки така обробка має здійснюватися з урахуванням права на повагу до приватного життя, вимог пропорційності, цільового використання інформації та ефективного правового захисту.</w:t>
      </w:r>
    </w:p>
    <w:p w14:paraId="1D0CDD5A"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На підставі аналізу законодавства про адміністративну процедуру, порядку моніторингу дотримання вимог законодавства з питань лобіювання, практики Верховного Суду та Вищого антикорупційного суду визначено критерії відмежування правомірного лобіювання від неправомірного впливу. Зроблено висновок, що конституційно прийнятною для України є модель, за якої </w:t>
      </w:r>
      <w:r w:rsidR="001E6B12">
        <w:rPr>
          <w:rFonts w:ascii="Times New Roman" w:hAnsi="Times New Roman" w:cs="Times New Roman"/>
          <w:sz w:val="28"/>
          <w:szCs w:val="28"/>
        </w:rPr>
        <w:t>ШІ</w:t>
      </w:r>
      <w:r w:rsidR="001E6B12" w:rsidRPr="00E05949">
        <w:rPr>
          <w:rFonts w:ascii="Times New Roman" w:hAnsi="Times New Roman" w:cs="Times New Roman"/>
          <w:sz w:val="28"/>
          <w:szCs w:val="28"/>
        </w:rPr>
        <w:t xml:space="preserve"> </w:t>
      </w:r>
      <w:r w:rsidRPr="00E05949">
        <w:rPr>
          <w:rFonts w:ascii="Times New Roman" w:hAnsi="Times New Roman" w:cs="Times New Roman"/>
          <w:sz w:val="28"/>
          <w:szCs w:val="28"/>
        </w:rPr>
        <w:t>у сфері лобіювання виконує допомі</w:t>
      </w:r>
      <w:r w:rsidR="00D5300A" w:rsidRPr="00E05949">
        <w:rPr>
          <w:rFonts w:ascii="Times New Roman" w:hAnsi="Times New Roman" w:cs="Times New Roman"/>
          <w:sz w:val="28"/>
          <w:szCs w:val="28"/>
        </w:rPr>
        <w:t>жну</w:t>
      </w:r>
      <w:r w:rsidR="00DD6F81" w:rsidRPr="00DD6F81">
        <w:rPr>
          <w:rFonts w:ascii="Times New Roman" w:hAnsi="Times New Roman" w:cs="Times New Roman"/>
          <w:sz w:val="28"/>
          <w:szCs w:val="28"/>
        </w:rPr>
        <w:t>, пояснювану та процедурно контрольовану</w:t>
      </w:r>
      <w:r w:rsidR="00DD6F81">
        <w:rPr>
          <w:rFonts w:ascii="Times New Roman" w:hAnsi="Times New Roman" w:cs="Times New Roman"/>
          <w:sz w:val="28"/>
          <w:szCs w:val="28"/>
        </w:rPr>
        <w:t xml:space="preserve"> </w:t>
      </w:r>
      <w:r w:rsidRPr="00E05949">
        <w:rPr>
          <w:rFonts w:ascii="Times New Roman" w:hAnsi="Times New Roman" w:cs="Times New Roman"/>
          <w:sz w:val="28"/>
          <w:szCs w:val="28"/>
        </w:rPr>
        <w:t xml:space="preserve">функцію; юридично значущі рішення залишаються за людиною відповідно до </w:t>
      </w:r>
      <w:r w:rsidR="00DD6F81" w:rsidRPr="00DD6F81">
        <w:rPr>
          <w:rFonts w:ascii="Times New Roman" w:hAnsi="Times New Roman" w:cs="Times New Roman"/>
          <w:sz w:val="28"/>
          <w:szCs w:val="28"/>
        </w:rPr>
        <w:t>принцип</w:t>
      </w:r>
      <w:r w:rsidR="00DD6F81">
        <w:rPr>
          <w:rFonts w:ascii="Times New Roman" w:hAnsi="Times New Roman" w:cs="Times New Roman"/>
          <w:sz w:val="28"/>
          <w:szCs w:val="28"/>
        </w:rPr>
        <w:t>у</w:t>
      </w:r>
      <w:r w:rsidR="00DD6F81" w:rsidRPr="00DD6F81">
        <w:rPr>
          <w:rFonts w:ascii="Times New Roman" w:hAnsi="Times New Roman" w:cs="Times New Roman"/>
          <w:sz w:val="28"/>
          <w:szCs w:val="28"/>
        </w:rPr>
        <w:t xml:space="preserve"> ефективного людського нагляду (human oversight)</w:t>
      </w:r>
      <w:r w:rsidRPr="00E05949">
        <w:rPr>
          <w:rFonts w:ascii="Times New Roman" w:hAnsi="Times New Roman" w:cs="Times New Roman"/>
          <w:sz w:val="28"/>
          <w:szCs w:val="28"/>
        </w:rPr>
        <w:t>; будь-які висновки, сформовані із застосуванням алгоритмічних інструментів, мають бути перевірюваними, мотивованими та придатними для ефективного адміністративного і судового оскарження.</w:t>
      </w:r>
    </w:p>
    <w:p w14:paraId="11948011"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b/>
          <w:sz w:val="28"/>
          <w:szCs w:val="28"/>
        </w:rPr>
        <w:t>Ключові слова:</w:t>
      </w:r>
      <w:r w:rsidRPr="00E05949">
        <w:rPr>
          <w:rFonts w:ascii="Times New Roman" w:hAnsi="Times New Roman" w:cs="Times New Roman"/>
          <w:sz w:val="28"/>
          <w:szCs w:val="28"/>
        </w:rPr>
        <w:t xml:space="preserve"> </w:t>
      </w:r>
      <w:r w:rsidR="003078A6" w:rsidRPr="003078A6">
        <w:rPr>
          <w:rFonts w:ascii="Times New Roman" w:hAnsi="Times New Roman" w:cs="Times New Roman"/>
          <w:sz w:val="28"/>
          <w:szCs w:val="28"/>
        </w:rPr>
        <w:t xml:space="preserve">лобіювання, штучний інтелект, алгоритмічне лобіювання, Реєстр прозорості, </w:t>
      </w:r>
      <w:r w:rsidR="008468D0">
        <w:rPr>
          <w:rFonts w:ascii="Times New Roman" w:hAnsi="Times New Roman" w:cs="Times New Roman"/>
          <w:sz w:val="28"/>
          <w:szCs w:val="28"/>
        </w:rPr>
        <w:t>законодавчий</w:t>
      </w:r>
      <w:r w:rsidR="003078A6" w:rsidRPr="003078A6">
        <w:rPr>
          <w:rFonts w:ascii="Times New Roman" w:hAnsi="Times New Roman" w:cs="Times New Roman"/>
          <w:sz w:val="28"/>
          <w:szCs w:val="28"/>
        </w:rPr>
        <w:t xml:space="preserve"> слід, ефективний людський нагляд, верховенство права, персональні дані, адміністративна процедура, неправомірний вплив.</w:t>
      </w:r>
    </w:p>
    <w:p w14:paraId="0901D2C3" w14:textId="77777777" w:rsidR="00E85680" w:rsidRPr="00E05949" w:rsidRDefault="00E85680" w:rsidP="00E05949">
      <w:pPr>
        <w:spacing w:after="0" w:line="360" w:lineRule="auto"/>
        <w:ind w:firstLine="284"/>
        <w:jc w:val="both"/>
        <w:rPr>
          <w:rFonts w:ascii="Times New Roman" w:hAnsi="Times New Roman" w:cs="Times New Roman"/>
          <w:sz w:val="28"/>
          <w:szCs w:val="28"/>
        </w:rPr>
      </w:pPr>
    </w:p>
    <w:p w14:paraId="25FF3A5D" w14:textId="77777777" w:rsidR="00E85680" w:rsidRPr="00E05949" w:rsidRDefault="00A51089" w:rsidP="00E05949">
      <w:pPr>
        <w:spacing w:after="0" w:line="360" w:lineRule="auto"/>
        <w:ind w:firstLine="284"/>
        <w:jc w:val="both"/>
        <w:rPr>
          <w:rFonts w:ascii="Times New Roman" w:hAnsi="Times New Roman" w:cs="Times New Roman"/>
          <w:b/>
          <w:sz w:val="28"/>
          <w:szCs w:val="28"/>
          <w:lang w:val="en-US"/>
        </w:rPr>
      </w:pPr>
      <w:r w:rsidRPr="00E05949">
        <w:rPr>
          <w:rFonts w:ascii="Times New Roman" w:hAnsi="Times New Roman" w:cs="Times New Roman"/>
          <w:b/>
          <w:sz w:val="28"/>
          <w:szCs w:val="28"/>
          <w:lang w:val="en-US"/>
        </w:rPr>
        <w:t>Bernaziuk Inna.</w:t>
      </w:r>
      <w:r w:rsidR="00E85680" w:rsidRPr="00E05949">
        <w:rPr>
          <w:rFonts w:ascii="Times New Roman" w:hAnsi="Times New Roman" w:cs="Times New Roman"/>
          <w:b/>
          <w:sz w:val="28"/>
          <w:szCs w:val="28"/>
        </w:rPr>
        <w:t xml:space="preserve"> </w:t>
      </w:r>
      <w:r w:rsidR="00B65274" w:rsidRPr="00B65274">
        <w:rPr>
          <w:rFonts w:ascii="Times New Roman" w:hAnsi="Times New Roman" w:cs="Times New Roman"/>
          <w:b/>
          <w:sz w:val="28"/>
          <w:szCs w:val="28"/>
          <w:lang w:val="en-US"/>
        </w:rPr>
        <w:t>Artificial intelligence in the functioning of the institution of lobbying in Ukraine: constitutional foundations of transparency and prevention of undue influence</w:t>
      </w:r>
      <w:r w:rsidR="00E85680" w:rsidRPr="00E05949">
        <w:rPr>
          <w:rFonts w:ascii="Times New Roman" w:hAnsi="Times New Roman" w:cs="Times New Roman"/>
          <w:b/>
          <w:sz w:val="28"/>
          <w:szCs w:val="28"/>
          <w:lang w:val="en-US"/>
        </w:rPr>
        <w:t>.</w:t>
      </w:r>
    </w:p>
    <w:p w14:paraId="4B6ECC1D" w14:textId="77777777" w:rsidR="00E85680" w:rsidRPr="00E05949" w:rsidRDefault="00E85680" w:rsidP="00E05949">
      <w:pPr>
        <w:spacing w:after="0" w:line="360" w:lineRule="auto"/>
        <w:ind w:firstLine="284"/>
        <w:jc w:val="both"/>
        <w:rPr>
          <w:rFonts w:ascii="Times New Roman" w:hAnsi="Times New Roman" w:cs="Times New Roman"/>
          <w:sz w:val="28"/>
          <w:szCs w:val="28"/>
          <w:lang w:val="en-US"/>
        </w:rPr>
      </w:pPr>
      <w:r w:rsidRPr="00E05949">
        <w:rPr>
          <w:rFonts w:ascii="Times New Roman" w:hAnsi="Times New Roman" w:cs="Times New Roman"/>
          <w:sz w:val="28"/>
          <w:szCs w:val="28"/>
          <w:lang w:val="en-US"/>
        </w:rPr>
        <w:lastRenderedPageBreak/>
        <w:t xml:space="preserve">The article provides a constitutional and legal analysis of the possibilities and limits of using artificial intelligence </w:t>
      </w:r>
      <w:r w:rsidR="003078A6" w:rsidRPr="003078A6">
        <w:rPr>
          <w:rFonts w:ascii="Times New Roman" w:hAnsi="Times New Roman" w:cs="Times New Roman"/>
          <w:sz w:val="28"/>
          <w:szCs w:val="28"/>
          <w:lang w:val="en-US"/>
        </w:rPr>
        <w:t>in the functioning of the institution of lobbying</w:t>
      </w:r>
      <w:r w:rsidR="003078A6">
        <w:rPr>
          <w:rFonts w:ascii="Times New Roman" w:hAnsi="Times New Roman" w:cs="Times New Roman"/>
          <w:sz w:val="28"/>
          <w:szCs w:val="28"/>
        </w:rPr>
        <w:t xml:space="preserve"> </w:t>
      </w:r>
      <w:r w:rsidRPr="00E05949">
        <w:rPr>
          <w:rFonts w:ascii="Times New Roman" w:hAnsi="Times New Roman" w:cs="Times New Roman"/>
          <w:sz w:val="28"/>
          <w:szCs w:val="28"/>
          <w:lang w:val="en-US"/>
        </w:rPr>
        <w:t xml:space="preserve">in Ukraine following the </w:t>
      </w:r>
      <w:r w:rsidR="00507439" w:rsidRPr="00507439">
        <w:rPr>
          <w:rFonts w:ascii="Times New Roman" w:hAnsi="Times New Roman" w:cs="Times New Roman"/>
          <w:sz w:val="28"/>
          <w:szCs w:val="28"/>
          <w:lang w:val="en-US"/>
        </w:rPr>
        <w:t>entry into force and implementation</w:t>
      </w:r>
      <w:r w:rsidRPr="00E05949">
        <w:rPr>
          <w:rFonts w:ascii="Times New Roman" w:hAnsi="Times New Roman" w:cs="Times New Roman"/>
          <w:sz w:val="28"/>
          <w:szCs w:val="28"/>
          <w:lang w:val="en-US"/>
        </w:rPr>
        <w:t xml:space="preserve"> of the Law of Ukraine “On Lobbying</w:t>
      </w:r>
      <w:proofErr w:type="gramStart"/>
      <w:r w:rsidRPr="00E05949">
        <w:rPr>
          <w:rFonts w:ascii="Times New Roman" w:hAnsi="Times New Roman" w:cs="Times New Roman"/>
          <w:sz w:val="28"/>
          <w:szCs w:val="28"/>
          <w:lang w:val="en-US"/>
        </w:rPr>
        <w:t>”.</w:t>
      </w:r>
      <w:proofErr w:type="gramEnd"/>
      <w:r w:rsidRPr="00E05949">
        <w:rPr>
          <w:rFonts w:ascii="Times New Roman" w:hAnsi="Times New Roman" w:cs="Times New Roman"/>
          <w:sz w:val="28"/>
          <w:szCs w:val="28"/>
          <w:lang w:val="en-US"/>
        </w:rPr>
        <w:t xml:space="preserve"> It is substantiated that the digitalisation of registration, reporting and monitoring procedures, the functioning of the Transparency Register and the openness of the legally defined scope of information create prerequisites for the use of algorithmic tools in the field of lawful representation of interests, but do not eliminate the requirement of their constitutional justification.</w:t>
      </w:r>
    </w:p>
    <w:p w14:paraId="74995590" w14:textId="77777777" w:rsidR="00E85680" w:rsidRPr="00E05949" w:rsidRDefault="00E85680" w:rsidP="00E05949">
      <w:pPr>
        <w:spacing w:after="0" w:line="360" w:lineRule="auto"/>
        <w:ind w:firstLine="284"/>
        <w:jc w:val="both"/>
        <w:rPr>
          <w:rFonts w:ascii="Times New Roman" w:hAnsi="Times New Roman" w:cs="Times New Roman"/>
          <w:sz w:val="28"/>
          <w:szCs w:val="28"/>
          <w:lang w:val="en-US"/>
        </w:rPr>
      </w:pPr>
      <w:r w:rsidRPr="00E05949">
        <w:rPr>
          <w:rFonts w:ascii="Times New Roman" w:hAnsi="Times New Roman" w:cs="Times New Roman"/>
          <w:sz w:val="28"/>
          <w:szCs w:val="28"/>
          <w:lang w:val="en-US"/>
        </w:rPr>
        <w:t xml:space="preserve">The article argues that the admissibility of artificial intelligence in this legal institution should be determined not by technological efficiency, but by compliance with the principles of the rule of law, legal certainty, proportionality, prohibition of arbitrariness, openness of public information, protection of personal data, integrity of public procedure and prevention of undue influence on law-making activity. </w:t>
      </w:r>
      <w:proofErr w:type="gramStart"/>
      <w:r w:rsidRPr="00E05949">
        <w:rPr>
          <w:rFonts w:ascii="Times New Roman" w:hAnsi="Times New Roman" w:cs="Times New Roman"/>
          <w:sz w:val="28"/>
          <w:szCs w:val="28"/>
          <w:lang w:val="en-US"/>
        </w:rPr>
        <w:t>Particular attention</w:t>
      </w:r>
      <w:proofErr w:type="gramEnd"/>
      <w:r w:rsidRPr="00E05949">
        <w:rPr>
          <w:rFonts w:ascii="Times New Roman" w:hAnsi="Times New Roman" w:cs="Times New Roman"/>
          <w:sz w:val="28"/>
          <w:szCs w:val="28"/>
          <w:lang w:val="en-US"/>
        </w:rPr>
        <w:t xml:space="preserve"> </w:t>
      </w:r>
      <w:proofErr w:type="gramStart"/>
      <w:r w:rsidRPr="00E05949">
        <w:rPr>
          <w:rFonts w:ascii="Times New Roman" w:hAnsi="Times New Roman" w:cs="Times New Roman"/>
          <w:sz w:val="28"/>
          <w:szCs w:val="28"/>
          <w:lang w:val="en-US"/>
        </w:rPr>
        <w:t>is paid</w:t>
      </w:r>
      <w:proofErr w:type="gramEnd"/>
      <w:r w:rsidRPr="00E05949">
        <w:rPr>
          <w:rFonts w:ascii="Times New Roman" w:hAnsi="Times New Roman" w:cs="Times New Roman"/>
          <w:sz w:val="28"/>
          <w:szCs w:val="28"/>
          <w:lang w:val="en-US"/>
        </w:rPr>
        <w:t xml:space="preserve"> to the risk of algorithmisation of evaluative legal categories, including the notions of “influence</w:t>
      </w:r>
      <w:proofErr w:type="gramStart"/>
      <w:r w:rsidRPr="00E05949">
        <w:rPr>
          <w:rFonts w:ascii="Times New Roman" w:hAnsi="Times New Roman" w:cs="Times New Roman"/>
          <w:sz w:val="28"/>
          <w:szCs w:val="28"/>
          <w:lang w:val="en-US"/>
        </w:rPr>
        <w:t>”,</w:t>
      </w:r>
      <w:proofErr w:type="gramEnd"/>
      <w:r w:rsidRPr="00E05949">
        <w:rPr>
          <w:rFonts w:ascii="Times New Roman" w:hAnsi="Times New Roman" w:cs="Times New Roman"/>
          <w:sz w:val="28"/>
          <w:szCs w:val="28"/>
          <w:lang w:val="en-US"/>
        </w:rPr>
        <w:t xml:space="preserve"> “attempted influence” and “commercial interest</w:t>
      </w:r>
      <w:proofErr w:type="gramStart"/>
      <w:r w:rsidRPr="00E05949">
        <w:rPr>
          <w:rFonts w:ascii="Times New Roman" w:hAnsi="Times New Roman" w:cs="Times New Roman"/>
          <w:sz w:val="28"/>
          <w:szCs w:val="28"/>
          <w:lang w:val="en-US"/>
        </w:rPr>
        <w:t>”,</w:t>
      </w:r>
      <w:proofErr w:type="gramEnd"/>
      <w:r w:rsidRPr="00E05949">
        <w:rPr>
          <w:rFonts w:ascii="Times New Roman" w:hAnsi="Times New Roman" w:cs="Times New Roman"/>
          <w:sz w:val="28"/>
          <w:szCs w:val="28"/>
          <w:lang w:val="en-US"/>
        </w:rPr>
        <w:t xml:space="preserve"> the uncertainty of which may increase the discretion of the supervisory authority.</w:t>
      </w:r>
    </w:p>
    <w:p w14:paraId="39747E22" w14:textId="77777777" w:rsidR="00E85680" w:rsidRPr="00E05949" w:rsidRDefault="00E85680" w:rsidP="00E05949">
      <w:pPr>
        <w:spacing w:after="0" w:line="360" w:lineRule="auto"/>
        <w:ind w:firstLine="284"/>
        <w:jc w:val="both"/>
        <w:rPr>
          <w:rFonts w:ascii="Times New Roman" w:hAnsi="Times New Roman" w:cs="Times New Roman"/>
          <w:sz w:val="28"/>
          <w:szCs w:val="28"/>
          <w:lang w:val="en-US"/>
        </w:rPr>
      </w:pPr>
      <w:r w:rsidRPr="00E05949">
        <w:rPr>
          <w:rFonts w:ascii="Times New Roman" w:hAnsi="Times New Roman" w:cs="Times New Roman"/>
          <w:sz w:val="28"/>
          <w:szCs w:val="28"/>
          <w:lang w:val="en-US"/>
        </w:rPr>
        <w:t xml:space="preserve">The article reveals the significance of the Transparency Register as a digital mechanism of public accountability for lobbying activities and substantiates the prospects for introducing the institution of a </w:t>
      </w:r>
      <w:r w:rsidR="008468D0" w:rsidRPr="008468D0">
        <w:rPr>
          <w:rFonts w:ascii="Times New Roman" w:hAnsi="Times New Roman" w:cs="Times New Roman"/>
          <w:sz w:val="28"/>
          <w:szCs w:val="28"/>
        </w:rPr>
        <w:t>legislative</w:t>
      </w:r>
      <w:r w:rsidRPr="00E05949">
        <w:rPr>
          <w:rFonts w:ascii="Times New Roman" w:hAnsi="Times New Roman" w:cs="Times New Roman"/>
          <w:sz w:val="28"/>
          <w:szCs w:val="28"/>
          <w:lang w:val="en-US"/>
        </w:rPr>
        <w:t xml:space="preserve"> footprint into Ukrainian law-making practice. It </w:t>
      </w:r>
      <w:proofErr w:type="gramStart"/>
      <w:r w:rsidRPr="00E05949">
        <w:rPr>
          <w:rFonts w:ascii="Times New Roman" w:hAnsi="Times New Roman" w:cs="Times New Roman"/>
          <w:sz w:val="28"/>
          <w:szCs w:val="28"/>
          <w:lang w:val="en-US"/>
        </w:rPr>
        <w:t>is shown</w:t>
      </w:r>
      <w:proofErr w:type="gramEnd"/>
      <w:r w:rsidRPr="00E05949">
        <w:rPr>
          <w:rFonts w:ascii="Times New Roman" w:hAnsi="Times New Roman" w:cs="Times New Roman"/>
          <w:sz w:val="28"/>
          <w:szCs w:val="28"/>
          <w:lang w:val="en-US"/>
        </w:rPr>
        <w:t xml:space="preserve"> that artificial intelligence may </w:t>
      </w:r>
      <w:proofErr w:type="gramStart"/>
      <w:r w:rsidRPr="00E05949">
        <w:rPr>
          <w:rFonts w:ascii="Times New Roman" w:hAnsi="Times New Roman" w:cs="Times New Roman"/>
          <w:sz w:val="28"/>
          <w:szCs w:val="28"/>
          <w:lang w:val="en-US"/>
        </w:rPr>
        <w:t>be used</w:t>
      </w:r>
      <w:proofErr w:type="gramEnd"/>
      <w:r w:rsidRPr="00E05949">
        <w:rPr>
          <w:rFonts w:ascii="Times New Roman" w:hAnsi="Times New Roman" w:cs="Times New Roman"/>
          <w:sz w:val="28"/>
          <w:szCs w:val="28"/>
          <w:lang w:val="en-US"/>
        </w:rPr>
        <w:t xml:space="preserve"> for analytical comparison of registry data, tracing the connection between lobbying communications and changes in draft regulatory acts, identifying formal inconsistencies in reporting and supporting public oversight. At the same time, the openness of information in the field of lobbying cannot be interpreted as an unlimited possibility of automated processing of all related data, since such processing must take place with due regard to the right to respect for private life, proportionality, purpose limitation and effective legal protection.</w:t>
      </w:r>
    </w:p>
    <w:p w14:paraId="4517ABE7" w14:textId="77777777" w:rsidR="00E85680" w:rsidRPr="00E05949" w:rsidRDefault="00E85680" w:rsidP="00E05949">
      <w:pPr>
        <w:spacing w:after="0" w:line="360" w:lineRule="auto"/>
        <w:ind w:firstLine="284"/>
        <w:jc w:val="both"/>
        <w:rPr>
          <w:rFonts w:ascii="Times New Roman" w:hAnsi="Times New Roman" w:cs="Times New Roman"/>
          <w:sz w:val="28"/>
          <w:szCs w:val="28"/>
          <w:lang w:val="en-US"/>
        </w:rPr>
      </w:pPr>
      <w:r w:rsidRPr="00E05949">
        <w:rPr>
          <w:rFonts w:ascii="Times New Roman" w:hAnsi="Times New Roman" w:cs="Times New Roman"/>
          <w:sz w:val="28"/>
          <w:szCs w:val="28"/>
          <w:lang w:val="en-US"/>
        </w:rPr>
        <w:t xml:space="preserve">Based on the analysis of legislation on administrative procedure, the procedure for monitoring compliance with lobbying legislation, and the case law of the Supreme Court and the High Anti-Corruption Court, the article identifies criteria for distinguishing lawful lobbying from undue influence. It is concluded that a </w:t>
      </w:r>
      <w:r w:rsidRPr="00E05949">
        <w:rPr>
          <w:rFonts w:ascii="Times New Roman" w:hAnsi="Times New Roman" w:cs="Times New Roman"/>
          <w:sz w:val="28"/>
          <w:szCs w:val="28"/>
          <w:lang w:val="en-US"/>
        </w:rPr>
        <w:lastRenderedPageBreak/>
        <w:t xml:space="preserve">constitutionally acceptable model for Ukraine is one in which artificial intelligence in the field of lobbying performs an auxiliary, explainable and procedurally controlled function; legally significant decisions remain within human competence </w:t>
      </w:r>
      <w:r w:rsidR="003078A6" w:rsidRPr="003078A6">
        <w:rPr>
          <w:rFonts w:ascii="Times New Roman" w:hAnsi="Times New Roman" w:cs="Times New Roman"/>
          <w:sz w:val="28"/>
          <w:szCs w:val="28"/>
          <w:lang w:val="en-US"/>
        </w:rPr>
        <w:t>under the principle of effective human oversight</w:t>
      </w:r>
      <w:r w:rsidRPr="00E05949">
        <w:rPr>
          <w:rFonts w:ascii="Times New Roman" w:hAnsi="Times New Roman" w:cs="Times New Roman"/>
          <w:sz w:val="28"/>
          <w:szCs w:val="28"/>
          <w:lang w:val="en-US"/>
        </w:rPr>
        <w:t>; and any conclusions formed with the use of algorithmic tools must be verifiable, reasoned and capable of effective administrative and judicial appeal.</w:t>
      </w:r>
    </w:p>
    <w:p w14:paraId="382A96AF" w14:textId="77777777" w:rsidR="00E85680" w:rsidRPr="00E05949" w:rsidRDefault="00E85680" w:rsidP="00E05949">
      <w:pPr>
        <w:spacing w:after="0" w:line="360" w:lineRule="auto"/>
        <w:ind w:firstLine="284"/>
        <w:jc w:val="both"/>
        <w:rPr>
          <w:rFonts w:ascii="Times New Roman" w:hAnsi="Times New Roman" w:cs="Times New Roman"/>
          <w:sz w:val="28"/>
          <w:szCs w:val="28"/>
          <w:lang w:val="en-US"/>
        </w:rPr>
      </w:pPr>
      <w:r w:rsidRPr="00E05949">
        <w:rPr>
          <w:rFonts w:ascii="Times New Roman" w:hAnsi="Times New Roman" w:cs="Times New Roman"/>
          <w:b/>
          <w:sz w:val="28"/>
          <w:szCs w:val="28"/>
          <w:lang w:val="en-US"/>
        </w:rPr>
        <w:t>Key words:</w:t>
      </w:r>
      <w:r w:rsidRPr="00E05949">
        <w:rPr>
          <w:rFonts w:ascii="Times New Roman" w:hAnsi="Times New Roman" w:cs="Times New Roman"/>
          <w:sz w:val="28"/>
          <w:szCs w:val="28"/>
          <w:lang w:val="en-US"/>
        </w:rPr>
        <w:t xml:space="preserve"> </w:t>
      </w:r>
      <w:r w:rsidR="003078A6" w:rsidRPr="003078A6">
        <w:rPr>
          <w:rFonts w:ascii="Times New Roman" w:hAnsi="Times New Roman" w:cs="Times New Roman"/>
          <w:sz w:val="28"/>
          <w:szCs w:val="28"/>
          <w:lang w:val="en-US"/>
        </w:rPr>
        <w:t xml:space="preserve">lobbying, artificial intelligence, algorithmic lobbying, Transparency Register, </w:t>
      </w:r>
      <w:r w:rsidR="008468D0" w:rsidRPr="008468D0">
        <w:rPr>
          <w:rFonts w:ascii="Times New Roman" w:hAnsi="Times New Roman" w:cs="Times New Roman"/>
          <w:sz w:val="28"/>
          <w:szCs w:val="28"/>
        </w:rPr>
        <w:t>legislative</w:t>
      </w:r>
      <w:r w:rsidR="003078A6" w:rsidRPr="003078A6">
        <w:rPr>
          <w:rFonts w:ascii="Times New Roman" w:hAnsi="Times New Roman" w:cs="Times New Roman"/>
          <w:sz w:val="28"/>
          <w:szCs w:val="28"/>
          <w:lang w:val="en-US"/>
        </w:rPr>
        <w:t xml:space="preserve"> footprint, effective human oversight, rule of law, personal data, administrative procedure, undue influence</w:t>
      </w:r>
      <w:r w:rsidRPr="00E05949">
        <w:rPr>
          <w:rFonts w:ascii="Times New Roman" w:hAnsi="Times New Roman" w:cs="Times New Roman"/>
          <w:sz w:val="28"/>
          <w:szCs w:val="28"/>
          <w:lang w:val="en-US"/>
        </w:rPr>
        <w:t>.</w:t>
      </w:r>
    </w:p>
    <w:p w14:paraId="54E38247" w14:textId="77777777" w:rsidR="00E85680" w:rsidRPr="00E05949" w:rsidRDefault="00E85680" w:rsidP="00E05949">
      <w:pPr>
        <w:spacing w:after="0" w:line="360" w:lineRule="auto"/>
        <w:ind w:firstLine="284"/>
        <w:jc w:val="both"/>
        <w:rPr>
          <w:rFonts w:ascii="Times New Roman" w:hAnsi="Times New Roman" w:cs="Times New Roman"/>
          <w:sz w:val="28"/>
          <w:szCs w:val="28"/>
        </w:rPr>
      </w:pPr>
    </w:p>
    <w:p w14:paraId="3709BB4E" w14:textId="77777777" w:rsidR="008F6E25"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b/>
          <w:sz w:val="28"/>
          <w:szCs w:val="28"/>
        </w:rPr>
        <w:t>Актуальність теми дослідження.</w:t>
      </w:r>
      <w:r w:rsidRPr="00E05949">
        <w:rPr>
          <w:rFonts w:ascii="Times New Roman" w:hAnsi="Times New Roman" w:cs="Times New Roman"/>
          <w:sz w:val="28"/>
          <w:szCs w:val="28"/>
        </w:rPr>
        <w:t xml:space="preserve"> </w:t>
      </w:r>
    </w:p>
    <w:p w14:paraId="0B636D31"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Прийняття Закону України «Про лобіювання» від 23 лютого 2024 року № 3606-IX</w:t>
      </w:r>
      <w:r w:rsidR="00DD6F81">
        <w:rPr>
          <w:rFonts w:ascii="Times New Roman" w:hAnsi="Times New Roman" w:cs="Times New Roman"/>
          <w:sz w:val="28"/>
          <w:szCs w:val="28"/>
        </w:rPr>
        <w:t>,</w:t>
      </w:r>
      <w:r w:rsidRPr="00E05949">
        <w:rPr>
          <w:rFonts w:ascii="Times New Roman" w:hAnsi="Times New Roman" w:cs="Times New Roman"/>
          <w:sz w:val="28"/>
          <w:szCs w:val="28"/>
        </w:rPr>
        <w:t xml:space="preserve"> </w:t>
      </w:r>
      <w:r w:rsidR="00DD6F81" w:rsidRPr="00DD6F81">
        <w:rPr>
          <w:rFonts w:ascii="Times New Roman" w:hAnsi="Times New Roman" w:cs="Times New Roman"/>
          <w:sz w:val="28"/>
          <w:szCs w:val="28"/>
        </w:rPr>
        <w:t>введеного в дію 1 вересня 2025 року,</w:t>
      </w:r>
      <w:r w:rsidR="00DD6F81">
        <w:rPr>
          <w:rFonts w:ascii="Times New Roman" w:hAnsi="Times New Roman" w:cs="Times New Roman"/>
          <w:sz w:val="28"/>
          <w:szCs w:val="28"/>
        </w:rPr>
        <w:t xml:space="preserve"> </w:t>
      </w:r>
      <w:r w:rsidRPr="00E05949">
        <w:rPr>
          <w:rFonts w:ascii="Times New Roman" w:hAnsi="Times New Roman" w:cs="Times New Roman"/>
          <w:sz w:val="28"/>
          <w:szCs w:val="28"/>
        </w:rPr>
        <w:t xml:space="preserve">стало важливим етапом інституціоналізації правомірного впливу на правотворчий процес в Україні. Лобіювання, яке тривалий час залишалося предметом політичної, антикорупційної та наукової дискусії, набуло ознак самостійного правового інституту з визначеним суб’єктним складом, предметом, сферою дії, принципами та спеціальним механізмом публічної звітності </w:t>
      </w:r>
      <w:r w:rsidR="002653D0" w:rsidRPr="00E05949">
        <w:rPr>
          <w:rFonts w:ascii="Times New Roman" w:hAnsi="Times New Roman" w:cs="Times New Roman"/>
          <w:sz w:val="28"/>
          <w:szCs w:val="28"/>
        </w:rPr>
        <w:t>–</w:t>
      </w:r>
      <w:r w:rsidRPr="00E05949">
        <w:rPr>
          <w:rFonts w:ascii="Times New Roman" w:hAnsi="Times New Roman" w:cs="Times New Roman"/>
          <w:sz w:val="28"/>
          <w:szCs w:val="28"/>
        </w:rPr>
        <w:t xml:space="preserve"> Реєстром прозорості.</w:t>
      </w:r>
    </w:p>
    <w:p w14:paraId="006099B7"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У сучасних умовах питання про лобіювання не може зводитися лише до його легалізації. Основного значення набуває конституційна оцінка того, яким чином має забезпечуватися прозорість впливу на правотворчу діяльність, як відмежувати правомірне представлення інтересів від неправомірного впливу, якими мають бути межі цифровізації відповідних реєстраційних, звітних і контрольних процедур, а також які гарантії повинні захищати особу від непропорційного адміністративного втручання.</w:t>
      </w:r>
    </w:p>
    <w:p w14:paraId="14F5BBB4"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Актуальність теми посилюється у зв’язку з поширенням технологій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в публічному управлінні, правотворчості, аналітиці відкритих даних та цифровому врядуванні. У межах досліджуваних правовідносин алгоритмічні інструменти можуть використовуватися для аналізу реєстрових даних, виявлення формальних невідповідностей у звітності, зіставлення предметів лобіювання з </w:t>
      </w:r>
      <w:r w:rsidRPr="00E05949">
        <w:rPr>
          <w:rFonts w:ascii="Times New Roman" w:hAnsi="Times New Roman" w:cs="Times New Roman"/>
          <w:sz w:val="28"/>
          <w:szCs w:val="28"/>
        </w:rPr>
        <w:lastRenderedPageBreak/>
        <w:t xml:space="preserve">динамікою правотворчого процесу, побудови </w:t>
      </w:r>
      <w:r w:rsidR="008468D0">
        <w:rPr>
          <w:rFonts w:ascii="Times New Roman" w:hAnsi="Times New Roman" w:cs="Times New Roman"/>
          <w:sz w:val="28"/>
          <w:szCs w:val="28"/>
        </w:rPr>
        <w:t>законодавчого</w:t>
      </w:r>
      <w:r w:rsidRPr="00E05949">
        <w:rPr>
          <w:rFonts w:ascii="Times New Roman" w:hAnsi="Times New Roman" w:cs="Times New Roman"/>
          <w:sz w:val="28"/>
          <w:szCs w:val="28"/>
        </w:rPr>
        <w:t xml:space="preserve"> сліду та підтримки громадського контролю. Водночас вони можуть створювати ризики непрозорої класифікації поведінки осіб, </w:t>
      </w:r>
      <w:r w:rsidR="009B1D26" w:rsidRPr="009B1D26">
        <w:rPr>
          <w:rFonts w:ascii="Times New Roman" w:hAnsi="Times New Roman" w:cs="Times New Roman"/>
          <w:sz w:val="28"/>
          <w:szCs w:val="28"/>
        </w:rPr>
        <w:t>персоналізован</w:t>
      </w:r>
      <w:r w:rsidR="009B1D26">
        <w:rPr>
          <w:rFonts w:ascii="Times New Roman" w:hAnsi="Times New Roman" w:cs="Times New Roman"/>
          <w:sz w:val="28"/>
          <w:szCs w:val="28"/>
        </w:rPr>
        <w:t>ого</w:t>
      </w:r>
      <w:r w:rsidR="009B1D26" w:rsidRPr="009B1D26">
        <w:rPr>
          <w:rFonts w:ascii="Times New Roman" w:hAnsi="Times New Roman" w:cs="Times New Roman"/>
          <w:sz w:val="28"/>
          <w:szCs w:val="28"/>
        </w:rPr>
        <w:t xml:space="preserve"> вплив</w:t>
      </w:r>
      <w:r w:rsidR="009B1D26">
        <w:rPr>
          <w:rFonts w:ascii="Times New Roman" w:hAnsi="Times New Roman" w:cs="Times New Roman"/>
          <w:sz w:val="28"/>
          <w:szCs w:val="28"/>
        </w:rPr>
        <w:t>у на</w:t>
      </w:r>
      <w:r w:rsidRPr="00E05949">
        <w:rPr>
          <w:rFonts w:ascii="Times New Roman" w:hAnsi="Times New Roman" w:cs="Times New Roman"/>
          <w:sz w:val="28"/>
          <w:szCs w:val="28"/>
        </w:rPr>
        <w:t xml:space="preserve"> учасників публічної комунікації та невиправданого розширення контрольної дискреції.</w:t>
      </w:r>
    </w:p>
    <w:p w14:paraId="322EA10A"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Конституційна значущість цієї проблематики зумовлена тим, що інститут лобіювання перебуває на перетині </w:t>
      </w:r>
      <w:r w:rsidR="00A170DF">
        <w:rPr>
          <w:rFonts w:ascii="Times New Roman" w:hAnsi="Times New Roman" w:cs="Times New Roman"/>
          <w:sz w:val="28"/>
          <w:szCs w:val="28"/>
        </w:rPr>
        <w:t>таких</w:t>
      </w:r>
      <w:r w:rsidRPr="00E05949">
        <w:rPr>
          <w:rFonts w:ascii="Times New Roman" w:hAnsi="Times New Roman" w:cs="Times New Roman"/>
          <w:sz w:val="28"/>
          <w:szCs w:val="28"/>
        </w:rPr>
        <w:t xml:space="preserve"> правових режимів: верховенства права, свободи інформації, доступу до публічної інформації, захисту персональних даних, участі у правотворчому процесі, доброчесності публічної процедури, адміністративної процедури та кримінально-правової заборони зловживання впливом. Отже, використання </w:t>
      </w:r>
      <w:r w:rsidR="001E6B12">
        <w:rPr>
          <w:rFonts w:ascii="Times New Roman" w:hAnsi="Times New Roman" w:cs="Times New Roman"/>
          <w:sz w:val="28"/>
          <w:szCs w:val="28"/>
        </w:rPr>
        <w:t>ШІ</w:t>
      </w:r>
      <w:r w:rsidR="001E6B12"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у процесі </w:t>
      </w:r>
      <w:r w:rsidR="00577A1F">
        <w:rPr>
          <w:rFonts w:ascii="Times New Roman" w:hAnsi="Times New Roman" w:cs="Times New Roman"/>
          <w:sz w:val="28"/>
          <w:szCs w:val="28"/>
        </w:rPr>
        <w:t>правомірного</w:t>
      </w:r>
      <w:r w:rsidRPr="00E05949">
        <w:rPr>
          <w:rFonts w:ascii="Times New Roman" w:hAnsi="Times New Roman" w:cs="Times New Roman"/>
          <w:sz w:val="28"/>
          <w:szCs w:val="28"/>
        </w:rPr>
        <w:t xml:space="preserve"> представлення інтересів потребує конституційно-правової оцінки.</w:t>
      </w:r>
    </w:p>
    <w:p w14:paraId="41E4CAC4" w14:textId="77777777" w:rsidR="00C116BB"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Окремого значення набуває зв’язок цієї проблематики із </w:t>
      </w:r>
      <w:r w:rsidR="00A170DF">
        <w:rPr>
          <w:rFonts w:ascii="Times New Roman" w:hAnsi="Times New Roman" w:cs="Times New Roman"/>
          <w:sz w:val="28"/>
          <w:szCs w:val="28"/>
        </w:rPr>
        <w:t>питаннями</w:t>
      </w:r>
      <w:r w:rsidRPr="00E05949">
        <w:rPr>
          <w:rFonts w:ascii="Times New Roman" w:hAnsi="Times New Roman" w:cs="Times New Roman"/>
          <w:sz w:val="28"/>
          <w:szCs w:val="28"/>
        </w:rPr>
        <w:t xml:space="preserve"> запобігання надмірному впливу на публічну владу. Закон України «Про запобігання загрозам національній безпеці, пов’язаним із надмірним впливом осіб, які мають значну економічну та політичну вагу в суспільному житті (олігархів)» спрямований на подолання конфлікту інтересів, викликаного злиттям політики, медіа та великого бізнесу, а також на забезпечення національної безпеки, демократії та державного суверенітету. </w:t>
      </w:r>
      <w:r w:rsidR="00C116BB" w:rsidRPr="00E05949">
        <w:rPr>
          <w:rFonts w:ascii="Times New Roman" w:hAnsi="Times New Roman" w:cs="Times New Roman"/>
          <w:sz w:val="28"/>
          <w:szCs w:val="28"/>
        </w:rPr>
        <w:t>Цей Закон не регулює лобіювання, проте фіксує суміжний конституційно-правовий орієнтир</w:t>
      </w:r>
      <w:r w:rsidR="00A170DF">
        <w:rPr>
          <w:rFonts w:ascii="Times New Roman" w:hAnsi="Times New Roman" w:cs="Times New Roman"/>
          <w:sz w:val="28"/>
          <w:szCs w:val="28"/>
        </w:rPr>
        <w:t>, а саме,</w:t>
      </w:r>
      <w:r w:rsidR="00C116BB" w:rsidRPr="00E05949">
        <w:rPr>
          <w:rFonts w:ascii="Times New Roman" w:hAnsi="Times New Roman" w:cs="Times New Roman"/>
          <w:sz w:val="28"/>
          <w:szCs w:val="28"/>
        </w:rPr>
        <w:t xml:space="preserve"> вплив на публічні рішення має бути </w:t>
      </w:r>
      <w:r w:rsidR="00A170DF">
        <w:rPr>
          <w:rFonts w:ascii="Times New Roman" w:hAnsi="Times New Roman" w:cs="Times New Roman"/>
          <w:sz w:val="28"/>
          <w:szCs w:val="28"/>
        </w:rPr>
        <w:t>прозорим</w:t>
      </w:r>
      <w:r w:rsidR="00C116BB" w:rsidRPr="00E05949">
        <w:rPr>
          <w:rFonts w:ascii="Times New Roman" w:hAnsi="Times New Roman" w:cs="Times New Roman"/>
          <w:sz w:val="28"/>
          <w:szCs w:val="28"/>
        </w:rPr>
        <w:t>, підконтрольним і таким, що не підміняє демократичні процедури.</w:t>
      </w:r>
    </w:p>
    <w:p w14:paraId="01438DDC" w14:textId="77777777" w:rsidR="00C116BB" w:rsidRPr="00E05949" w:rsidRDefault="00C116BB" w:rsidP="00E05949">
      <w:pPr>
        <w:spacing w:after="0" w:line="360" w:lineRule="auto"/>
        <w:ind w:firstLine="284"/>
        <w:jc w:val="both"/>
        <w:rPr>
          <w:rFonts w:ascii="Times New Roman" w:hAnsi="Times New Roman" w:cs="Times New Roman"/>
          <w:sz w:val="28"/>
          <w:szCs w:val="28"/>
        </w:rPr>
      </w:pPr>
    </w:p>
    <w:p w14:paraId="17A5DD6F" w14:textId="77777777" w:rsidR="00C116BB" w:rsidRPr="00E05949" w:rsidRDefault="00E85680" w:rsidP="00E05949">
      <w:pPr>
        <w:spacing w:after="0" w:line="360" w:lineRule="auto"/>
        <w:ind w:firstLine="284"/>
        <w:jc w:val="both"/>
        <w:rPr>
          <w:rFonts w:ascii="Times New Roman" w:hAnsi="Times New Roman" w:cs="Times New Roman"/>
          <w:b/>
          <w:sz w:val="28"/>
          <w:szCs w:val="28"/>
        </w:rPr>
      </w:pPr>
      <w:r w:rsidRPr="00E05949">
        <w:rPr>
          <w:rFonts w:ascii="Times New Roman" w:hAnsi="Times New Roman" w:cs="Times New Roman"/>
          <w:b/>
          <w:sz w:val="28"/>
          <w:szCs w:val="28"/>
        </w:rPr>
        <w:t xml:space="preserve">Формулювання мети дослідження. </w:t>
      </w:r>
    </w:p>
    <w:p w14:paraId="512C9AC1"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Метою статті є визначення конституційно-правових засад використання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у </w:t>
      </w:r>
      <w:r w:rsidR="00B65274">
        <w:rPr>
          <w:rFonts w:ascii="Times New Roman" w:hAnsi="Times New Roman" w:cs="Times New Roman"/>
          <w:sz w:val="28"/>
          <w:szCs w:val="28"/>
        </w:rPr>
        <w:t>функціонуванні</w:t>
      </w:r>
      <w:r w:rsidRPr="00E05949">
        <w:rPr>
          <w:rFonts w:ascii="Times New Roman" w:hAnsi="Times New Roman" w:cs="Times New Roman"/>
          <w:sz w:val="28"/>
          <w:szCs w:val="28"/>
        </w:rPr>
        <w:t xml:space="preserve"> інституту лобіювання в Україні, з’ясування його допустимої ролі у забезпеченні прозорості правотворчого процесу та запобіганні неправомірному впливу, а також формулювання критеріїв, за яких алгоритмічні інструменти у цій сфері можуть бути сумісними з верховенством права, юридичною визначеністю, відкритістю публічної інформації, правом на повагу до приватного життя, адміністративною процедурою та ефективним судовим захистом.</w:t>
      </w:r>
    </w:p>
    <w:p w14:paraId="3739C2A1"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lastRenderedPageBreak/>
        <w:t>Для досягнення зазначеної мети у статті поставлено такі завдання: визначити конституційн</w:t>
      </w:r>
      <w:r w:rsidR="00A170DF">
        <w:rPr>
          <w:rFonts w:ascii="Times New Roman" w:hAnsi="Times New Roman" w:cs="Times New Roman"/>
          <w:sz w:val="28"/>
          <w:szCs w:val="28"/>
        </w:rPr>
        <w:t>і межі</w:t>
      </w:r>
      <w:r w:rsidRPr="00E05949">
        <w:rPr>
          <w:rFonts w:ascii="Times New Roman" w:hAnsi="Times New Roman" w:cs="Times New Roman"/>
          <w:sz w:val="28"/>
          <w:szCs w:val="28"/>
        </w:rPr>
        <w:t xml:space="preserve"> інституту лобіювання; розкрити значення прозорості лобістської комунікації; оцінити роль Реєстру прозорості як цифрового механізму публічної підзвітності; проаналізувати ризики алгоритмізації оціночних ознак лобіювання; з’ясувати співвідношення лобіювання, адвокації та інших форм участі у публічних справах; визначити значення </w:t>
      </w:r>
      <w:r w:rsidR="008468D0">
        <w:rPr>
          <w:rFonts w:ascii="Times New Roman" w:hAnsi="Times New Roman" w:cs="Times New Roman"/>
          <w:sz w:val="28"/>
          <w:szCs w:val="28"/>
        </w:rPr>
        <w:t>законодавчого</w:t>
      </w:r>
      <w:r w:rsidRPr="00E05949">
        <w:rPr>
          <w:rFonts w:ascii="Times New Roman" w:hAnsi="Times New Roman" w:cs="Times New Roman"/>
          <w:sz w:val="28"/>
          <w:szCs w:val="28"/>
        </w:rPr>
        <w:t xml:space="preserve"> сліду як інструменту доброчесності правотворчої процедури; встановити критерії відмежування правомірного лобіювання від неправомірного впливу; сформулювати модель допустимого використання </w:t>
      </w:r>
      <w:r w:rsidR="001E6B12">
        <w:rPr>
          <w:rFonts w:ascii="Times New Roman" w:hAnsi="Times New Roman" w:cs="Times New Roman"/>
          <w:sz w:val="28"/>
          <w:szCs w:val="28"/>
        </w:rPr>
        <w:t>ШІ</w:t>
      </w:r>
      <w:r w:rsidR="001E6B12"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у сфері лобіювання на основі </w:t>
      </w:r>
      <w:r w:rsidR="00D5300A" w:rsidRPr="00E05949">
        <w:rPr>
          <w:rFonts w:ascii="Times New Roman" w:hAnsi="Times New Roman" w:cs="Times New Roman"/>
          <w:sz w:val="28"/>
          <w:szCs w:val="28"/>
        </w:rPr>
        <w:t xml:space="preserve">принципу </w:t>
      </w:r>
      <w:r w:rsidR="00DD6F81" w:rsidRPr="00DD6F81">
        <w:rPr>
          <w:rFonts w:ascii="Times New Roman" w:hAnsi="Times New Roman" w:cs="Times New Roman"/>
          <w:sz w:val="28"/>
          <w:szCs w:val="28"/>
        </w:rPr>
        <w:t>ефективного людського нагляду</w:t>
      </w:r>
      <w:r w:rsidRPr="00E05949">
        <w:rPr>
          <w:rFonts w:ascii="Times New Roman" w:hAnsi="Times New Roman" w:cs="Times New Roman"/>
          <w:sz w:val="28"/>
          <w:szCs w:val="28"/>
        </w:rPr>
        <w:t>.</w:t>
      </w:r>
    </w:p>
    <w:p w14:paraId="3DEC7AD9" w14:textId="77777777" w:rsidR="007E01EB"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b/>
          <w:sz w:val="28"/>
          <w:szCs w:val="28"/>
        </w:rPr>
        <w:t>Стан дослідження.</w:t>
      </w:r>
      <w:r w:rsidRPr="00E05949">
        <w:rPr>
          <w:rFonts w:ascii="Times New Roman" w:hAnsi="Times New Roman" w:cs="Times New Roman"/>
          <w:sz w:val="28"/>
          <w:szCs w:val="28"/>
        </w:rPr>
        <w:t xml:space="preserve"> </w:t>
      </w:r>
    </w:p>
    <w:p w14:paraId="3431A0F0"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Сучасна українська наукова література з проблем лобіювання поступово переходить від загального обґрунтування необхідності його правового регулювання до аналізу змісту, меж і ризиків нового інституту. У праці Д. Заєця лобіювання розглянуто крізь призму легітимізації комунікації, відкритості лобістської діяльності, реєстрації лобістів і значення інформаційно-правової політики для прозорості впливу на владу [8]. Такий підхід є важливим, оскільки переносить акцент із політичного сприйняття лобіювання на його правову форму </w:t>
      </w:r>
      <w:r w:rsidR="002653D0" w:rsidRPr="00E05949">
        <w:rPr>
          <w:rFonts w:ascii="Times New Roman" w:hAnsi="Times New Roman" w:cs="Times New Roman"/>
          <w:sz w:val="28"/>
          <w:szCs w:val="28"/>
        </w:rPr>
        <w:t>–</w:t>
      </w:r>
      <w:r w:rsidRPr="00E05949">
        <w:rPr>
          <w:rFonts w:ascii="Times New Roman" w:hAnsi="Times New Roman" w:cs="Times New Roman"/>
          <w:sz w:val="28"/>
          <w:szCs w:val="28"/>
        </w:rPr>
        <w:t xml:space="preserve"> відкриту, підзвітну і перевірювану комунікацію з публічною владою.</w:t>
      </w:r>
    </w:p>
    <w:p w14:paraId="6EF7E350"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Особливе значення для цього дослідження має стаття Б. Мохончука та О. Мокроусової, присвячена ознакам лобіювання в Україні. Автори аналізують чинне законодавче визначення лобіювання крізь призму юридичної визначеності та заборони свавілля, звертаючи увагу на підвищену оціночність понять «вплив», «спроба впливу» і «комерційний інтерес» [6]. Цей висновок має методологічне значення для статті, оскільки саме такі категорії можуть бути покладені в основу алгоритмічних моделей аналізу й моніторингу лобістської діяльності.</w:t>
      </w:r>
    </w:p>
    <w:p w14:paraId="36D862E2" w14:textId="77777777" w:rsidR="00E85680" w:rsidRPr="00E05949" w:rsidRDefault="00751402" w:rsidP="00E05949">
      <w:pPr>
        <w:spacing w:after="0" w:line="360" w:lineRule="auto"/>
        <w:ind w:firstLine="284"/>
        <w:jc w:val="both"/>
        <w:rPr>
          <w:rFonts w:ascii="Times New Roman" w:hAnsi="Times New Roman" w:cs="Times New Roman"/>
          <w:sz w:val="28"/>
          <w:szCs w:val="28"/>
        </w:rPr>
      </w:pPr>
      <w:r w:rsidRPr="00751402">
        <w:rPr>
          <w:rFonts w:ascii="Times New Roman" w:hAnsi="Times New Roman" w:cs="Times New Roman"/>
          <w:sz w:val="28"/>
          <w:szCs w:val="28"/>
        </w:rPr>
        <w:t>В іншій праці цих самих авторів, присвяченій співвідношенню лобіювання та адвокації, наголошено на ризиках надмірно широкого регулювання, здатного обмежити свободу вираження поглядів, свободу об’єднань, право на звернення та право на участь в управлінні державними справами [7]</w:t>
      </w:r>
      <w:r w:rsidR="00E85680" w:rsidRPr="00E05949">
        <w:rPr>
          <w:rFonts w:ascii="Times New Roman" w:hAnsi="Times New Roman" w:cs="Times New Roman"/>
          <w:sz w:val="28"/>
          <w:szCs w:val="28"/>
        </w:rPr>
        <w:t xml:space="preserve">. Цей підхід дозволяє визначити межу між правовим режимом лобіювання та суміжними формами </w:t>
      </w:r>
      <w:r w:rsidR="00E85680" w:rsidRPr="00E05949">
        <w:rPr>
          <w:rFonts w:ascii="Times New Roman" w:hAnsi="Times New Roman" w:cs="Times New Roman"/>
          <w:sz w:val="28"/>
          <w:szCs w:val="28"/>
        </w:rPr>
        <w:lastRenderedPageBreak/>
        <w:t>демократичної участі, які не повинні автоматично підпадати під спеціальні реєстраційні чи звітні обов’язки.</w:t>
      </w:r>
    </w:p>
    <w:p w14:paraId="26564475"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На стику лобіювання й антикорупційного регулювання важливою є праця О. Макарова, у якій досліджено проблеми нормативного узгодження лобіювання та конфлікту інтересів. Автор обґрунтовує, що в українському правопорядку співіснують різні режими конфлікту інтересів</w:t>
      </w:r>
      <w:r w:rsidR="00A170DF">
        <w:rPr>
          <w:rFonts w:ascii="Times New Roman" w:hAnsi="Times New Roman" w:cs="Times New Roman"/>
          <w:sz w:val="28"/>
          <w:szCs w:val="28"/>
        </w:rPr>
        <w:t>, а саме,</w:t>
      </w:r>
      <w:r w:rsidRPr="00E05949">
        <w:rPr>
          <w:rFonts w:ascii="Times New Roman" w:hAnsi="Times New Roman" w:cs="Times New Roman"/>
          <w:sz w:val="28"/>
          <w:szCs w:val="28"/>
        </w:rPr>
        <w:t xml:space="preserve"> у сфері лобіювання та у сфері публічної служби, а їх змішування може спричинити помилки у кваліфікації</w:t>
      </w:r>
      <w:r w:rsidR="00A170DF">
        <w:rPr>
          <w:rFonts w:ascii="Times New Roman" w:hAnsi="Times New Roman" w:cs="Times New Roman"/>
          <w:sz w:val="28"/>
          <w:szCs w:val="28"/>
        </w:rPr>
        <w:t>, доказуванні та контролі [10].</w:t>
      </w:r>
    </w:p>
    <w:p w14:paraId="568CF380" w14:textId="77777777" w:rsidR="007E01EB" w:rsidRPr="00E05949" w:rsidRDefault="007E01E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У цьому контексті лобіювання доцільно розглядати як спеціалізований, формалізований і юридично обмежений сегмент ширшої системи </w:t>
      </w:r>
      <w:r w:rsidR="006D7657" w:rsidRPr="00E05949">
        <w:rPr>
          <w:rFonts w:ascii="Times New Roman" w:hAnsi="Times New Roman" w:cs="Times New Roman"/>
          <w:sz w:val="28"/>
          <w:szCs w:val="28"/>
        </w:rPr>
        <w:t>взаємодії з органами публічної влади (Government Relations, GR)</w:t>
      </w:r>
      <w:r w:rsidRPr="00E05949">
        <w:rPr>
          <w:rFonts w:ascii="Times New Roman" w:hAnsi="Times New Roman" w:cs="Times New Roman"/>
          <w:sz w:val="28"/>
          <w:szCs w:val="28"/>
        </w:rPr>
        <w:t xml:space="preserve">, тобто правомірної взаємодії суб’єктів господарювання, бізнес-асоціацій, професійних об’єднань та інших заінтересованих сторін з органами публічної влади щодо формування або зміни публічної політики. Для суб’єктів господарювання GR може охоплювати моніторинг правотворчих ініціатив, участь у публічних консультаціях, подання пропозицій до проєктів нормативно-правових актів, оцінку регуляторного впливу та звернення до органів влади. </w:t>
      </w:r>
      <w:r w:rsidR="002653D0" w:rsidRPr="00E05949">
        <w:rPr>
          <w:rFonts w:ascii="Times New Roman" w:hAnsi="Times New Roman" w:cs="Times New Roman"/>
          <w:sz w:val="28"/>
          <w:szCs w:val="28"/>
        </w:rPr>
        <w:t>Проте</w:t>
      </w:r>
      <w:r w:rsidRPr="00E05949">
        <w:rPr>
          <w:rFonts w:ascii="Times New Roman" w:hAnsi="Times New Roman" w:cs="Times New Roman"/>
          <w:sz w:val="28"/>
          <w:szCs w:val="28"/>
        </w:rPr>
        <w:t xml:space="preserve"> не кожна </w:t>
      </w:r>
      <w:r w:rsidR="006D7657" w:rsidRPr="00E05949">
        <w:rPr>
          <w:rFonts w:ascii="Times New Roman" w:hAnsi="Times New Roman" w:cs="Times New Roman"/>
          <w:sz w:val="28"/>
          <w:szCs w:val="28"/>
        </w:rPr>
        <w:t>комунікація з органами публічної влади (</w:t>
      </w:r>
      <w:r w:rsidRPr="00E05949">
        <w:rPr>
          <w:rFonts w:ascii="Times New Roman" w:hAnsi="Times New Roman" w:cs="Times New Roman"/>
          <w:sz w:val="28"/>
          <w:szCs w:val="28"/>
        </w:rPr>
        <w:t>GR-комунікація</w:t>
      </w:r>
      <w:r w:rsidR="006D7657" w:rsidRPr="00E05949">
        <w:rPr>
          <w:rFonts w:ascii="Times New Roman" w:hAnsi="Times New Roman" w:cs="Times New Roman"/>
          <w:sz w:val="28"/>
          <w:szCs w:val="28"/>
        </w:rPr>
        <w:t>)</w:t>
      </w:r>
      <w:r w:rsidRPr="00E05949">
        <w:rPr>
          <w:rFonts w:ascii="Times New Roman" w:hAnsi="Times New Roman" w:cs="Times New Roman"/>
          <w:sz w:val="28"/>
          <w:szCs w:val="28"/>
        </w:rPr>
        <w:t xml:space="preserve"> є лобіюванням у значенні Закону України «Про лобіювання», оскільки останнє має спеціальний предмет, комерційний інтерес і визначений законом порядок здійснення [2].</w:t>
      </w:r>
    </w:p>
    <w:p w14:paraId="78665BC6" w14:textId="77777777" w:rsidR="00E85680"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Проблематика </w:t>
      </w:r>
      <w:r w:rsidR="001E6B12">
        <w:rPr>
          <w:rFonts w:ascii="Times New Roman" w:hAnsi="Times New Roman" w:cs="Times New Roman"/>
          <w:sz w:val="28"/>
          <w:szCs w:val="28"/>
        </w:rPr>
        <w:t>ШІ</w:t>
      </w:r>
      <w:r w:rsidR="001E6B12"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у зв’язку з політичним впливом і правотворчістю розкривається у працях О. Карпенка, Д. Германа, К. Гамкрелідзе, Л. Шульги, О. Буртової та В. Олюхи. Перша група авторів аналізує алгоритмічне лобіювання як інструмент впливу громадянського суспільства на вироблення державної політики, акцентуючи ризики непрозорості алгоритмів, недостатньої підзвітності та спотворення демократичної конкуренції [9]. В. Олюха досліджує використання </w:t>
      </w:r>
      <w:r w:rsidR="001E6B12">
        <w:rPr>
          <w:rFonts w:ascii="Times New Roman" w:hAnsi="Times New Roman" w:cs="Times New Roman"/>
          <w:sz w:val="28"/>
          <w:szCs w:val="28"/>
        </w:rPr>
        <w:t>ШІ</w:t>
      </w:r>
      <w:r w:rsidR="001E6B12" w:rsidRPr="00E05949">
        <w:rPr>
          <w:rFonts w:ascii="Times New Roman" w:hAnsi="Times New Roman" w:cs="Times New Roman"/>
          <w:sz w:val="28"/>
          <w:szCs w:val="28"/>
        </w:rPr>
        <w:t xml:space="preserve"> </w:t>
      </w:r>
      <w:r w:rsidRPr="00E05949">
        <w:rPr>
          <w:rFonts w:ascii="Times New Roman" w:hAnsi="Times New Roman" w:cs="Times New Roman"/>
          <w:sz w:val="28"/>
          <w:szCs w:val="28"/>
        </w:rPr>
        <w:t>в законотворчій діяльності й обґрунтовує, що такі системи можуть виконувати лише допоміжну функцію, тоді як передача їм вирішальної ролі суперечила б засадам верховенства права, людської автономії та гідності [11].</w:t>
      </w:r>
    </w:p>
    <w:p w14:paraId="09DBB8D0" w14:textId="77777777" w:rsidR="006A715B" w:rsidRDefault="006A715B" w:rsidP="00E05949">
      <w:pPr>
        <w:spacing w:after="0" w:line="360" w:lineRule="auto"/>
        <w:ind w:firstLine="284"/>
        <w:jc w:val="both"/>
        <w:rPr>
          <w:rFonts w:ascii="Times New Roman" w:hAnsi="Times New Roman" w:cs="Times New Roman"/>
          <w:sz w:val="28"/>
          <w:szCs w:val="28"/>
        </w:rPr>
      </w:pPr>
      <w:r w:rsidRPr="006A715B">
        <w:rPr>
          <w:rFonts w:ascii="Times New Roman" w:hAnsi="Times New Roman" w:cs="Times New Roman"/>
          <w:sz w:val="28"/>
          <w:szCs w:val="28"/>
        </w:rPr>
        <w:lastRenderedPageBreak/>
        <w:t>Новітні дослідження 2026 року розвивають також юридичні та конституційні засади самого інституту лобіювання. Т. Дідич, О. Чаплюк та Д. Слюсарь розглядають лобіювання як юридичну конструкцію, внутрішня структура якої охоплює суб’єкта, об’єкт, предмет і зміст діяльності, та наголошують на необхідності чіткості, логічності й внутрішньої узгодженості його нормативної формалізації [37]. О. Кротюк, досліджуючи статус заінтересованих осіб у правотворчій діяльності, звертає увагу на ризик нерівного доступу до правотворчих процедур: домінування ресурсно забезпечених корпоративних груп може знижувати процедурну легітимність правотворчості та суспільну довіру до владних рішень [38].</w:t>
      </w:r>
    </w:p>
    <w:p w14:paraId="4D4DBD08" w14:textId="77777777" w:rsidR="006A715B" w:rsidRDefault="006A715B" w:rsidP="00E05949">
      <w:pPr>
        <w:spacing w:after="0" w:line="360" w:lineRule="auto"/>
        <w:ind w:firstLine="284"/>
        <w:jc w:val="both"/>
        <w:rPr>
          <w:rFonts w:ascii="Times New Roman" w:hAnsi="Times New Roman" w:cs="Times New Roman"/>
          <w:sz w:val="28"/>
          <w:szCs w:val="28"/>
        </w:rPr>
      </w:pPr>
      <w:r w:rsidRPr="006A715B">
        <w:rPr>
          <w:rFonts w:ascii="Times New Roman" w:hAnsi="Times New Roman" w:cs="Times New Roman"/>
          <w:sz w:val="28"/>
          <w:szCs w:val="28"/>
        </w:rPr>
        <w:t>Безпосередній зв’язок між ШІ, прозорістю та лобістським впливом простежується у дослідженні В. Ігнатуші, яка показує, що лобіювання інтересів технологічних компаній у процесі формування регулювання ШІ в ЄС здатне впливати на зміст нормативних вимог, зокрема сприяти їх послабленню у сфері прозорості [39]. Масштабність такого явища підтверджують і емпіричні дані Public Citizen: у 2025 році 3570 осіб, тобто понад чверть усіх федеральних лобістів у США, повідомили про лобіювання питань, пов’язаних із ШІ; за три роки кількість таких лобістів зросла приблизно на 168 % [40]. Ці дані свідчать, що ШІ є не лише потенційним інструментом лобістського впливу, а й самостійним предметом інтенсивного корпоративного лобіювання.</w:t>
      </w:r>
    </w:p>
    <w:p w14:paraId="27F8C77D" w14:textId="2313E0E6" w:rsidR="00BE3F7F" w:rsidRPr="00BE3F7F" w:rsidRDefault="00BE3F7F" w:rsidP="00BE3F7F">
      <w:pPr>
        <w:spacing w:after="0" w:line="360" w:lineRule="auto"/>
        <w:ind w:firstLine="284"/>
        <w:jc w:val="both"/>
        <w:rPr>
          <w:rFonts w:ascii="Times New Roman" w:hAnsi="Times New Roman" w:cs="Times New Roman"/>
          <w:sz w:val="28"/>
          <w:szCs w:val="28"/>
        </w:rPr>
      </w:pPr>
      <w:r w:rsidRPr="00BE3F7F">
        <w:rPr>
          <w:rFonts w:ascii="Times New Roman" w:hAnsi="Times New Roman" w:cs="Times New Roman"/>
          <w:sz w:val="28"/>
          <w:szCs w:val="28"/>
        </w:rPr>
        <w:t>Фундаментальне значення для конституційно-правового розуміння лобіювання мають праці В. Нестеровича. У монографічному дослідженні автор комплексно розкрив конституційно-правові засади цього інституту, його суб’єктів, об’єкт, предмет і методи, проаналізував зарубіжні моделі регулювання та сформулював пропозиції щодо легітимації лобіювання в Україні [</w:t>
      </w:r>
      <w:r>
        <w:rPr>
          <w:rFonts w:ascii="Times New Roman" w:hAnsi="Times New Roman" w:cs="Times New Roman"/>
          <w:sz w:val="28"/>
          <w:szCs w:val="28"/>
        </w:rPr>
        <w:t>45</w:t>
      </w:r>
      <w:r w:rsidRPr="00BE3F7F">
        <w:rPr>
          <w:rFonts w:ascii="Times New Roman" w:hAnsi="Times New Roman" w:cs="Times New Roman"/>
          <w:sz w:val="28"/>
          <w:szCs w:val="28"/>
        </w:rPr>
        <w:t>]. У подальших працях досліджено становлення українських законодавчих ініціатив у цій сфері, досвід Великої Британії та Ірландії, а також основні тенденції регулювання лобіювання у країнах Західної Європи [</w:t>
      </w:r>
      <w:r>
        <w:rPr>
          <w:rFonts w:ascii="Times New Roman" w:hAnsi="Times New Roman" w:cs="Times New Roman"/>
          <w:sz w:val="28"/>
          <w:szCs w:val="28"/>
        </w:rPr>
        <w:t>46</w:t>
      </w:r>
      <w:r w:rsidRPr="00BE3F7F">
        <w:rPr>
          <w:rFonts w:ascii="Times New Roman" w:hAnsi="Times New Roman" w:cs="Times New Roman"/>
          <w:sz w:val="28"/>
          <w:szCs w:val="28"/>
        </w:rPr>
        <w:t>–</w:t>
      </w:r>
      <w:r>
        <w:rPr>
          <w:rFonts w:ascii="Times New Roman" w:hAnsi="Times New Roman" w:cs="Times New Roman"/>
          <w:sz w:val="28"/>
          <w:szCs w:val="28"/>
        </w:rPr>
        <w:t>48</w:t>
      </w:r>
      <w:r w:rsidRPr="00BE3F7F">
        <w:rPr>
          <w:rFonts w:ascii="Times New Roman" w:hAnsi="Times New Roman" w:cs="Times New Roman"/>
          <w:sz w:val="28"/>
          <w:szCs w:val="28"/>
        </w:rPr>
        <w:t xml:space="preserve">]. Важливими для цього дослідження є обґрунтовані В. Нестеровичем положення про конституційне підґрунтя правомірного представлення інтересів, необхідність прозорості й підзвітності лобістської діяльності, реєстрації її суб’єктів, </w:t>
      </w:r>
      <w:r w:rsidRPr="00BE3F7F">
        <w:rPr>
          <w:rFonts w:ascii="Times New Roman" w:hAnsi="Times New Roman" w:cs="Times New Roman"/>
          <w:sz w:val="28"/>
          <w:szCs w:val="28"/>
        </w:rPr>
        <w:lastRenderedPageBreak/>
        <w:t>відкритості відповідних відомостей та поєднання державного регулювання із професійним саморегулюванням.</w:t>
      </w:r>
    </w:p>
    <w:p w14:paraId="0E09D503" w14:textId="2F6B733A" w:rsidR="00BE3F7F" w:rsidRPr="00BE3F7F" w:rsidRDefault="00BE3F7F" w:rsidP="00BE3F7F">
      <w:pPr>
        <w:spacing w:after="0" w:line="360" w:lineRule="auto"/>
        <w:ind w:firstLine="284"/>
        <w:jc w:val="both"/>
        <w:rPr>
          <w:rFonts w:ascii="Times New Roman" w:hAnsi="Times New Roman" w:cs="Times New Roman"/>
          <w:sz w:val="28"/>
          <w:szCs w:val="28"/>
        </w:rPr>
      </w:pPr>
      <w:r w:rsidRPr="00BE3F7F">
        <w:rPr>
          <w:rFonts w:ascii="Times New Roman" w:hAnsi="Times New Roman" w:cs="Times New Roman"/>
          <w:sz w:val="28"/>
          <w:szCs w:val="28"/>
        </w:rPr>
        <w:t>Практико-орієнтований підхід до співвідношення лобіювання та адвокації представлений у матеріалах Д. Базілевича. Автор розглядає лобіювання як професійний і прозорий механізм представлення інтересів у відносинах із публічною владою, відмежовуючи його від корупційного та іншого позаправового впливу [4</w:t>
      </w:r>
      <w:r>
        <w:rPr>
          <w:rFonts w:ascii="Times New Roman" w:hAnsi="Times New Roman" w:cs="Times New Roman"/>
          <w:sz w:val="28"/>
          <w:szCs w:val="28"/>
        </w:rPr>
        <w:t>9</w:t>
      </w:r>
      <w:r w:rsidRPr="00BE3F7F">
        <w:rPr>
          <w:rFonts w:ascii="Times New Roman" w:hAnsi="Times New Roman" w:cs="Times New Roman"/>
          <w:sz w:val="28"/>
          <w:szCs w:val="28"/>
        </w:rPr>
        <w:t>]. Адвокаційна кампанія визначається ним як організований інструмент впливу на формування публічної політики, зокрема у сфері малого та середнього бізнесу [</w:t>
      </w:r>
      <w:r>
        <w:rPr>
          <w:rFonts w:ascii="Times New Roman" w:hAnsi="Times New Roman" w:cs="Times New Roman"/>
          <w:sz w:val="28"/>
          <w:szCs w:val="28"/>
        </w:rPr>
        <w:t>50</w:t>
      </w:r>
      <w:r w:rsidRPr="00BE3F7F">
        <w:rPr>
          <w:rFonts w:ascii="Times New Roman" w:hAnsi="Times New Roman" w:cs="Times New Roman"/>
          <w:sz w:val="28"/>
          <w:szCs w:val="28"/>
        </w:rPr>
        <w:t>]. Ці підходи доповнюють наукові дослідження практичним баченням відповідних комунікацій і підтверджують необхідність розмежування лобіювання, адвокації та інших форм участі у публічних справах. Для використання ШІ таке розмежування має особливе значення, оскільки зовнішня подібність способів комунікації не є достатньою підставою для їх однакової алгоритмічної або юридичної кваліфікації.</w:t>
      </w:r>
    </w:p>
    <w:p w14:paraId="3A59C1F6" w14:textId="77777777" w:rsidR="00423D2D" w:rsidRPr="00E05949" w:rsidRDefault="00A51089"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Авторкою </w:t>
      </w:r>
      <w:r w:rsidR="00A170DF">
        <w:rPr>
          <w:rFonts w:ascii="Times New Roman" w:hAnsi="Times New Roman" w:cs="Times New Roman"/>
          <w:sz w:val="28"/>
          <w:szCs w:val="28"/>
        </w:rPr>
        <w:t xml:space="preserve">цієї статті </w:t>
      </w:r>
      <w:r w:rsidRPr="00E05949">
        <w:rPr>
          <w:rFonts w:ascii="Times New Roman" w:hAnsi="Times New Roman" w:cs="Times New Roman"/>
          <w:sz w:val="28"/>
          <w:szCs w:val="28"/>
        </w:rPr>
        <w:t>у попередніх роботах вже було</w:t>
      </w:r>
      <w:r w:rsidR="00423D2D" w:rsidRPr="00E05949">
        <w:rPr>
          <w:rFonts w:ascii="Times New Roman" w:hAnsi="Times New Roman" w:cs="Times New Roman"/>
          <w:sz w:val="28"/>
          <w:szCs w:val="28"/>
        </w:rPr>
        <w:t xml:space="preserve"> </w:t>
      </w:r>
      <w:r w:rsidR="003078A6">
        <w:rPr>
          <w:rFonts w:ascii="Times New Roman" w:hAnsi="Times New Roman" w:cs="Times New Roman"/>
          <w:sz w:val="28"/>
          <w:szCs w:val="28"/>
        </w:rPr>
        <w:t>проаналізовано</w:t>
      </w:r>
      <w:r w:rsidR="00423D2D" w:rsidRPr="00E05949">
        <w:rPr>
          <w:rFonts w:ascii="Times New Roman" w:hAnsi="Times New Roman" w:cs="Times New Roman"/>
          <w:sz w:val="28"/>
          <w:szCs w:val="28"/>
        </w:rPr>
        <w:t xml:space="preserve"> конституційно-правові аспекти впровадження </w:t>
      </w:r>
      <w:r w:rsidR="001E6B12">
        <w:rPr>
          <w:rFonts w:ascii="Times New Roman" w:hAnsi="Times New Roman" w:cs="Times New Roman"/>
          <w:sz w:val="28"/>
          <w:szCs w:val="28"/>
        </w:rPr>
        <w:t>ШІ</w:t>
      </w:r>
      <w:r w:rsidR="00423D2D" w:rsidRPr="00E05949">
        <w:rPr>
          <w:rFonts w:ascii="Times New Roman" w:hAnsi="Times New Roman" w:cs="Times New Roman"/>
          <w:sz w:val="28"/>
          <w:szCs w:val="28"/>
        </w:rPr>
        <w:t xml:space="preserve"> в національний правопорядок [28], зокрема в системі правосуддя [29</w:t>
      </w:r>
      <w:r w:rsidRPr="00E05949">
        <w:rPr>
          <w:rFonts w:ascii="Times New Roman" w:hAnsi="Times New Roman" w:cs="Times New Roman"/>
          <w:sz w:val="28"/>
          <w:szCs w:val="28"/>
        </w:rPr>
        <w:t xml:space="preserve">], проведено </w:t>
      </w:r>
      <w:r w:rsidR="00423D2D" w:rsidRPr="00E05949">
        <w:rPr>
          <w:rFonts w:ascii="Times New Roman" w:hAnsi="Times New Roman" w:cs="Times New Roman"/>
          <w:sz w:val="28"/>
          <w:szCs w:val="28"/>
        </w:rPr>
        <w:t>аналіз ризик</w:t>
      </w:r>
      <w:r w:rsidRPr="00E05949">
        <w:rPr>
          <w:rFonts w:ascii="Times New Roman" w:hAnsi="Times New Roman" w:cs="Times New Roman"/>
          <w:sz w:val="28"/>
          <w:szCs w:val="28"/>
        </w:rPr>
        <w:t>ів</w:t>
      </w:r>
      <w:r w:rsidR="00423D2D" w:rsidRPr="00E05949">
        <w:rPr>
          <w:rFonts w:ascii="Times New Roman" w:hAnsi="Times New Roman" w:cs="Times New Roman"/>
          <w:sz w:val="28"/>
          <w:szCs w:val="28"/>
        </w:rPr>
        <w:t xml:space="preserve"> алгоритмізації крізь призму положень Європейської конвенції з прав людини [30] та Рамкової конвенції Ради Європи про штучний інтелект [31], що безпосередньо корелюється із засадами захисту персональних даних та поваги до приватного життя учасників лобістських комунікацій. Методологічне підґрунтя прозорості та підзвітності впливу на </w:t>
      </w:r>
      <w:r w:rsidR="00A170DF">
        <w:rPr>
          <w:rFonts w:ascii="Times New Roman" w:hAnsi="Times New Roman" w:cs="Times New Roman"/>
          <w:sz w:val="28"/>
          <w:szCs w:val="28"/>
        </w:rPr>
        <w:t xml:space="preserve">публічну </w:t>
      </w:r>
      <w:r w:rsidR="00423D2D" w:rsidRPr="00E05949">
        <w:rPr>
          <w:rFonts w:ascii="Times New Roman" w:hAnsi="Times New Roman" w:cs="Times New Roman"/>
          <w:sz w:val="28"/>
          <w:szCs w:val="28"/>
        </w:rPr>
        <w:t>владу закладено також у працях, присвячених реалізації права на доступ до публічної інформації [32], правовому регулюванню захисту персональних даних [33] та інституціональним гарантіям залучення громадськості до процедур запобігання корупції [34].</w:t>
      </w:r>
    </w:p>
    <w:p w14:paraId="2072BCFB"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Для цієї статті також мають значення нормативні джерела, що прямо або опосередковано визначають процедури прозорості й контролю впливу на публічну владу. Йдеться, зокрема, про законодавство щодо запобігання надмірному впливу осіб, які мають значну економічну та політичну вагу, положення про відповідний реєстр, Закон України «Про адміністративну процедуру» та Порядок здійснення моніторингу дотримання вимог </w:t>
      </w:r>
      <w:r w:rsidRPr="00E05949">
        <w:rPr>
          <w:rFonts w:ascii="Times New Roman" w:hAnsi="Times New Roman" w:cs="Times New Roman"/>
          <w:sz w:val="28"/>
          <w:szCs w:val="28"/>
        </w:rPr>
        <w:lastRenderedPageBreak/>
        <w:t>законодавства з питань лобіювання [18</w:t>
      </w:r>
      <w:r w:rsidR="009036B9" w:rsidRPr="00E05949">
        <w:rPr>
          <w:rFonts w:ascii="Times New Roman" w:hAnsi="Times New Roman" w:cs="Times New Roman"/>
          <w:sz w:val="28"/>
          <w:szCs w:val="28"/>
        </w:rPr>
        <w:t>; 20; 21</w:t>
      </w:r>
      <w:r w:rsidRPr="00E05949">
        <w:rPr>
          <w:rFonts w:ascii="Times New Roman" w:hAnsi="Times New Roman" w:cs="Times New Roman"/>
          <w:sz w:val="28"/>
          <w:szCs w:val="28"/>
        </w:rPr>
        <w:t>]. Ці джерела розширюють базу дослідження, оскільки дозволяють поєднати питання прозорості лобіювання з процедурними гарантіями особи, межами контролю та забороною надмірного втручання.</w:t>
      </w:r>
    </w:p>
    <w:p w14:paraId="6CC8AF04"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Попри наявність зазначених досліджень і нормативних джерел, комплексний аналіз використання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у сфері лобіювання саме в конституційно-правовій площині залишається недостатньо розробленим. Потребують подальшого дослідження питання допустимості алгоритмічного моніторингу лобістської діяльності, меж використання відкритих даних Реєстру прозорості, захисту персональних даних учасників відповідних правовідносин, впровадження </w:t>
      </w:r>
      <w:r w:rsidR="008468D0">
        <w:rPr>
          <w:rFonts w:ascii="Times New Roman" w:hAnsi="Times New Roman" w:cs="Times New Roman"/>
          <w:sz w:val="28"/>
          <w:szCs w:val="28"/>
        </w:rPr>
        <w:t>законодавчого</w:t>
      </w:r>
      <w:r w:rsidRPr="00E05949">
        <w:rPr>
          <w:rFonts w:ascii="Times New Roman" w:hAnsi="Times New Roman" w:cs="Times New Roman"/>
          <w:sz w:val="28"/>
          <w:szCs w:val="28"/>
        </w:rPr>
        <w:t xml:space="preserve"> сліду, а також судових критеріїв відмежування </w:t>
      </w:r>
      <w:r w:rsidR="00577A1F">
        <w:rPr>
          <w:rFonts w:ascii="Times New Roman" w:hAnsi="Times New Roman" w:cs="Times New Roman"/>
          <w:sz w:val="28"/>
          <w:szCs w:val="28"/>
        </w:rPr>
        <w:t>правомірного</w:t>
      </w:r>
      <w:r w:rsidRPr="00E05949">
        <w:rPr>
          <w:rFonts w:ascii="Times New Roman" w:hAnsi="Times New Roman" w:cs="Times New Roman"/>
          <w:sz w:val="28"/>
          <w:szCs w:val="28"/>
        </w:rPr>
        <w:t xml:space="preserve"> впливу від неправомірного.</w:t>
      </w:r>
    </w:p>
    <w:p w14:paraId="69EF1161" w14:textId="77777777" w:rsidR="00E85680" w:rsidRPr="00E05949" w:rsidRDefault="00E85680" w:rsidP="00E05949">
      <w:pPr>
        <w:spacing w:after="0" w:line="360" w:lineRule="auto"/>
        <w:ind w:firstLine="284"/>
        <w:jc w:val="both"/>
        <w:rPr>
          <w:rFonts w:ascii="Times New Roman" w:hAnsi="Times New Roman" w:cs="Times New Roman"/>
          <w:sz w:val="28"/>
          <w:szCs w:val="28"/>
        </w:rPr>
      </w:pPr>
    </w:p>
    <w:p w14:paraId="137AA9DB" w14:textId="77777777" w:rsidR="00E85680" w:rsidRPr="00E05949" w:rsidRDefault="00E85680" w:rsidP="00E05949">
      <w:pPr>
        <w:spacing w:after="0" w:line="360" w:lineRule="auto"/>
        <w:ind w:firstLine="284"/>
        <w:jc w:val="both"/>
        <w:rPr>
          <w:rFonts w:ascii="Times New Roman" w:hAnsi="Times New Roman" w:cs="Times New Roman"/>
          <w:b/>
          <w:sz w:val="28"/>
          <w:szCs w:val="28"/>
        </w:rPr>
      </w:pPr>
      <w:r w:rsidRPr="00E05949">
        <w:rPr>
          <w:rFonts w:ascii="Times New Roman" w:hAnsi="Times New Roman" w:cs="Times New Roman"/>
          <w:b/>
          <w:sz w:val="28"/>
          <w:szCs w:val="28"/>
        </w:rPr>
        <w:t>Виклад основного матеріалу.</w:t>
      </w:r>
    </w:p>
    <w:p w14:paraId="63D2F473"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Конституція України прямо не використовує поняття лобіювання, однак її норми формують правову основу, у межах якої цей інститут може бути легітимований. Йдеться насамперед про засади демократичної і правової держави, верховенства права, обов’язок органів публічної влади діяти лише на підставі, у межах повноважень та у спосіб, що передбачені Конституцією і законами України, а також про гарантії свободи інформації, права на звернення, участі в управлінні державними справами, захисту приватного життя та судового захисту</w:t>
      </w:r>
      <w:r w:rsidR="009036B9" w:rsidRPr="00E05949">
        <w:rPr>
          <w:rFonts w:ascii="Times New Roman" w:hAnsi="Times New Roman" w:cs="Times New Roman"/>
          <w:sz w:val="28"/>
          <w:szCs w:val="28"/>
        </w:rPr>
        <w:t xml:space="preserve"> (статті 8, 19, 32, 34, </w:t>
      </w:r>
      <w:r w:rsidR="00EF5B80">
        <w:rPr>
          <w:rFonts w:ascii="Times New Roman" w:hAnsi="Times New Roman" w:cs="Times New Roman"/>
          <w:sz w:val="28"/>
          <w:szCs w:val="28"/>
        </w:rPr>
        <w:t xml:space="preserve">36, </w:t>
      </w:r>
      <w:r w:rsidR="009036B9" w:rsidRPr="00E05949">
        <w:rPr>
          <w:rFonts w:ascii="Times New Roman" w:hAnsi="Times New Roman" w:cs="Times New Roman"/>
          <w:sz w:val="28"/>
          <w:szCs w:val="28"/>
        </w:rPr>
        <w:t>38, 40, 55 Конституції України)</w:t>
      </w:r>
      <w:r w:rsidRPr="00E05949">
        <w:rPr>
          <w:rFonts w:ascii="Times New Roman" w:hAnsi="Times New Roman" w:cs="Times New Roman"/>
          <w:sz w:val="28"/>
          <w:szCs w:val="28"/>
        </w:rPr>
        <w:t xml:space="preserve"> [1].</w:t>
      </w:r>
    </w:p>
    <w:p w14:paraId="2EF8BAF7" w14:textId="77777777" w:rsidR="00E85680" w:rsidRPr="00E05949" w:rsidRDefault="008F6E25"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У конституційно-правовому вимірі </w:t>
      </w:r>
      <w:r w:rsidR="00E85680" w:rsidRPr="00E05949">
        <w:rPr>
          <w:rFonts w:ascii="Times New Roman" w:hAnsi="Times New Roman" w:cs="Times New Roman"/>
          <w:sz w:val="28"/>
          <w:szCs w:val="28"/>
        </w:rPr>
        <w:t>лобіювання може розглядатися як одна з правових форм представлення інтересів у процесі правотворчості. Його конституційна допустимість залежить від того, чи не порушує воно баланс між свободою участі у публічних справах і захищеністю правотворчої процедури від прихованого, непрозорого або неправомірного впливу. Спеціальний закон сам по собі не гарантує конституційної бездоганності інституту. Вирішальне значення має якість правового регулювання, зокрема визначеність понять, передбачуваність обов’язків і пропорційність контролю.</w:t>
      </w:r>
    </w:p>
    <w:p w14:paraId="172971BF"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lastRenderedPageBreak/>
        <w:t>Закон України «Про лобіювання» визначає лобіювання як діяльність, що здійснюється з метою впливу або спроби впливу на об’єкт лобіювання в комерційних інтересах бенефіціара або у власних комерційних інтересах особи та стосується предмета лобіювання [2]. Предметом лобіювання є нормативно-правовий акт щодо його планування, розроблення, прийняття, зміни, скасування або утримання від таких дій. Отже, правовий режим лобіювання в Україні пов’язаний саме з правотворчістю, а не з будь-яким владним рішенням.</w:t>
      </w:r>
    </w:p>
    <w:p w14:paraId="2BFD61F6" w14:textId="77777777" w:rsidR="00751402" w:rsidRDefault="007E01E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Це розмежування має особливе значення для суб’єктів господарювання, діяльність яких передбачає регулярну взаємодію з державою у сфері регуляторної політики, правотворчості та публічних консультацій. Участь бізнесу в обговоренні проєктів актів, підготовка експертних позицій, подання пропозицій щодо регуляторного впливу або звернення через професійні об’єднання </w:t>
      </w:r>
      <w:r w:rsidR="009036B9" w:rsidRPr="00E05949">
        <w:rPr>
          <w:rFonts w:ascii="Times New Roman" w:hAnsi="Times New Roman" w:cs="Times New Roman"/>
          <w:sz w:val="28"/>
          <w:szCs w:val="28"/>
        </w:rPr>
        <w:t xml:space="preserve">можуть бути правомірними формами взаємодії з органами публічної влади (Government Relations) і не повинні автоматично кваліфікуватися як лобіювання </w:t>
      </w:r>
      <w:r w:rsidRPr="00E05949">
        <w:rPr>
          <w:rFonts w:ascii="Times New Roman" w:hAnsi="Times New Roman" w:cs="Times New Roman"/>
          <w:sz w:val="28"/>
          <w:szCs w:val="28"/>
        </w:rPr>
        <w:t>[2</w:t>
      </w:r>
      <w:r w:rsidR="009036B9" w:rsidRPr="00E05949">
        <w:rPr>
          <w:rFonts w:ascii="Times New Roman" w:hAnsi="Times New Roman" w:cs="Times New Roman"/>
          <w:sz w:val="28"/>
          <w:szCs w:val="28"/>
        </w:rPr>
        <w:t>5; 26</w:t>
      </w:r>
      <w:r w:rsidRPr="00E05949">
        <w:rPr>
          <w:rFonts w:ascii="Times New Roman" w:hAnsi="Times New Roman" w:cs="Times New Roman"/>
          <w:sz w:val="28"/>
          <w:szCs w:val="28"/>
        </w:rPr>
        <w:t xml:space="preserve">]. </w:t>
      </w:r>
    </w:p>
    <w:p w14:paraId="32A3EF56" w14:textId="77777777" w:rsidR="00E85680" w:rsidRPr="00E05949" w:rsidRDefault="00751402" w:rsidP="00E05949">
      <w:pPr>
        <w:spacing w:after="0" w:line="360" w:lineRule="auto"/>
        <w:ind w:firstLine="284"/>
        <w:jc w:val="both"/>
        <w:rPr>
          <w:rFonts w:ascii="Times New Roman" w:hAnsi="Times New Roman" w:cs="Times New Roman"/>
          <w:sz w:val="28"/>
          <w:szCs w:val="28"/>
        </w:rPr>
      </w:pPr>
      <w:r w:rsidRPr="00751402">
        <w:rPr>
          <w:rFonts w:ascii="Times New Roman" w:hAnsi="Times New Roman" w:cs="Times New Roman"/>
          <w:sz w:val="28"/>
          <w:szCs w:val="28"/>
        </w:rPr>
        <w:t>Такий підхід узгоджується з частиною другою статті 3 Закону України «Про лобіювання», яка визначає види діяльності, що не є лобіюванням, а також із загальним правилом, за яким спеціальний правовий режим не поширюється на діяльність, що не містить усіх законодавчих ознак лобіювання [2].</w:t>
      </w:r>
      <w:r>
        <w:rPr>
          <w:rFonts w:ascii="Times New Roman" w:hAnsi="Times New Roman" w:cs="Times New Roman"/>
          <w:sz w:val="28"/>
          <w:szCs w:val="28"/>
        </w:rPr>
        <w:t xml:space="preserve"> </w:t>
      </w:r>
      <w:r w:rsidR="009036B9" w:rsidRPr="00E05949">
        <w:rPr>
          <w:rFonts w:ascii="Times New Roman" w:hAnsi="Times New Roman" w:cs="Times New Roman"/>
          <w:sz w:val="28"/>
          <w:szCs w:val="28"/>
        </w:rPr>
        <w:t>Тому алгоритмічний моніторинг має розрізняти лобіювання, інші форми такої взаємодії, адвокацію та реалізацію конституційних прав</w:t>
      </w:r>
      <w:r w:rsidR="007E01EB" w:rsidRPr="00E05949">
        <w:rPr>
          <w:rFonts w:ascii="Times New Roman" w:hAnsi="Times New Roman" w:cs="Times New Roman"/>
          <w:sz w:val="28"/>
          <w:szCs w:val="28"/>
        </w:rPr>
        <w:t>, а не оцінювати їх лише за частотою контактів чи тематичними збігами [2; 7].</w:t>
      </w:r>
    </w:p>
    <w:p w14:paraId="56218F55" w14:textId="77777777" w:rsidR="00E85680"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У цьому контексті принцип юридичної визначеності є ключовим. Якщо закон оперує надмірно широкими або оціночними категоріями, він не забезпечує належної передбачуваності для суб’єктів лобіювання</w:t>
      </w:r>
      <w:r w:rsidR="00BA5829" w:rsidRPr="00E05949">
        <w:rPr>
          <w:rFonts w:ascii="Times New Roman" w:hAnsi="Times New Roman" w:cs="Times New Roman"/>
          <w:sz w:val="28"/>
          <w:szCs w:val="28"/>
        </w:rPr>
        <w:t xml:space="preserve"> та</w:t>
      </w:r>
      <w:r w:rsidRPr="00E05949">
        <w:rPr>
          <w:rFonts w:ascii="Times New Roman" w:hAnsi="Times New Roman" w:cs="Times New Roman"/>
          <w:sz w:val="28"/>
          <w:szCs w:val="28"/>
        </w:rPr>
        <w:t xml:space="preserve"> осіб, які реалізують суміжні конституційні права. Саме тому наукова критика понять «вплив», «спроба впливу» та «комерційний інтерес» має не лише техніко-юридичне, а й конституційне значення [6].</w:t>
      </w:r>
    </w:p>
    <w:p w14:paraId="60848898" w14:textId="77777777" w:rsidR="00EF5B80" w:rsidRPr="00E05949" w:rsidRDefault="00EF5B80" w:rsidP="00E05949">
      <w:pPr>
        <w:spacing w:after="0" w:line="360" w:lineRule="auto"/>
        <w:ind w:firstLine="284"/>
        <w:jc w:val="both"/>
        <w:rPr>
          <w:rFonts w:ascii="Times New Roman" w:hAnsi="Times New Roman" w:cs="Times New Roman"/>
          <w:sz w:val="28"/>
          <w:szCs w:val="28"/>
        </w:rPr>
      </w:pPr>
      <w:r w:rsidRPr="00EF5B80">
        <w:rPr>
          <w:rFonts w:ascii="Times New Roman" w:hAnsi="Times New Roman" w:cs="Times New Roman"/>
          <w:sz w:val="28"/>
          <w:szCs w:val="28"/>
        </w:rPr>
        <w:t xml:space="preserve">Практичні орієнтири для застосування цих понять містяться у Роз’ясненнях НАЗК щодо застосування актів законодавства з питань лобіювання від 31 травня 2026 року № 2. У них наголошено, що діяльність є лобіюванням лише за </w:t>
      </w:r>
      <w:r w:rsidRPr="00EF5B80">
        <w:rPr>
          <w:rFonts w:ascii="Times New Roman" w:hAnsi="Times New Roman" w:cs="Times New Roman"/>
          <w:sz w:val="28"/>
          <w:szCs w:val="28"/>
        </w:rPr>
        <w:lastRenderedPageBreak/>
        <w:t>одночасної наявності всіх установлених законом ознак: впливу або спроби впливу на об’єкт лобіювання, комерційного інтересу та предмета лобіювання. Роз’яснення також конкретизують види діяльності, які не є лобіюванням, зокрема наукову діяльність, некомерційну діяльність громадських об’єднань, реалізацію права на звернення та участь у публічних консультаціях [</w:t>
      </w:r>
      <w:r>
        <w:rPr>
          <w:rFonts w:ascii="Times New Roman" w:hAnsi="Times New Roman" w:cs="Times New Roman"/>
          <w:sz w:val="28"/>
          <w:szCs w:val="28"/>
        </w:rPr>
        <w:t>35</w:t>
      </w:r>
      <w:r w:rsidRPr="00EF5B80">
        <w:rPr>
          <w:rFonts w:ascii="Times New Roman" w:hAnsi="Times New Roman" w:cs="Times New Roman"/>
          <w:sz w:val="28"/>
          <w:szCs w:val="28"/>
        </w:rPr>
        <w:t>]. Водночас рекомендаційний характер цих Роз’яснень означає, що вони не можуть усувати недоліки юридичної визначеності закону або самостійно встановлювати нові обов’язки для учасників GR-комунікації.</w:t>
      </w:r>
    </w:p>
    <w:p w14:paraId="57790B74" w14:textId="77777777" w:rsidR="007E01EB" w:rsidRPr="00E05949" w:rsidRDefault="008F6E25"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Конституційно-правові ризики </w:t>
      </w:r>
      <w:r w:rsidR="007E01EB" w:rsidRPr="00E05949">
        <w:rPr>
          <w:rFonts w:ascii="Times New Roman" w:hAnsi="Times New Roman" w:cs="Times New Roman"/>
          <w:sz w:val="28"/>
          <w:szCs w:val="28"/>
        </w:rPr>
        <w:t>алгоритмізації таких категорій поляга</w:t>
      </w:r>
      <w:r w:rsidR="00C116BB" w:rsidRPr="00E05949">
        <w:rPr>
          <w:rFonts w:ascii="Times New Roman" w:hAnsi="Times New Roman" w:cs="Times New Roman"/>
          <w:sz w:val="28"/>
          <w:szCs w:val="28"/>
        </w:rPr>
        <w:t>ють</w:t>
      </w:r>
      <w:r w:rsidR="007E01EB" w:rsidRPr="00E05949">
        <w:rPr>
          <w:rFonts w:ascii="Times New Roman" w:hAnsi="Times New Roman" w:cs="Times New Roman"/>
          <w:sz w:val="28"/>
          <w:szCs w:val="28"/>
        </w:rPr>
        <w:t xml:space="preserve"> </w:t>
      </w:r>
      <w:r w:rsidR="00D5300A" w:rsidRPr="00E05949">
        <w:rPr>
          <w:rFonts w:ascii="Times New Roman" w:hAnsi="Times New Roman" w:cs="Times New Roman"/>
          <w:sz w:val="28"/>
          <w:szCs w:val="28"/>
        </w:rPr>
        <w:t>у</w:t>
      </w:r>
      <w:r w:rsidR="007E01EB" w:rsidRPr="00E05949">
        <w:rPr>
          <w:rFonts w:ascii="Times New Roman" w:hAnsi="Times New Roman" w:cs="Times New Roman"/>
          <w:sz w:val="28"/>
          <w:szCs w:val="28"/>
        </w:rPr>
        <w:t xml:space="preserve"> тому, що системи </w:t>
      </w:r>
      <w:r w:rsidR="001E6B12">
        <w:rPr>
          <w:rFonts w:ascii="Times New Roman" w:hAnsi="Times New Roman" w:cs="Times New Roman"/>
          <w:sz w:val="28"/>
          <w:szCs w:val="28"/>
        </w:rPr>
        <w:t>ШІ</w:t>
      </w:r>
      <w:r w:rsidR="007E01EB" w:rsidRPr="00E05949">
        <w:rPr>
          <w:rFonts w:ascii="Times New Roman" w:hAnsi="Times New Roman" w:cs="Times New Roman"/>
          <w:sz w:val="28"/>
          <w:szCs w:val="28"/>
        </w:rPr>
        <w:t xml:space="preserve"> оперують статистичними кореляціями, повторюваними мовними конструкціями та поведінковими ознаками, тоді як правові поняття «впливу» і «комерційного інтересу» потребують телеологічного та контекстуального тлумачення. Для їх оцінки необхідно з’ясувати мету комунікації, характер інтересу, зв’язок із предметом лобіювання, статус бенефіціара та відмежування від адвокації, експертної участі чи реалізації права на звернення [1; 6; 7]. Тому алгоритмічне виявлення «спроби впливу» може мати лише попередній аналітичний характер і не повинно підміняти правову оцінку компетентної посадової особи.</w:t>
      </w:r>
    </w:p>
    <w:p w14:paraId="59B951FB" w14:textId="77777777" w:rsidR="00E85680" w:rsidRPr="00E05949" w:rsidRDefault="001E6B12" w:rsidP="00E05949">
      <w:pPr>
        <w:spacing w:after="0" w:line="360" w:lineRule="auto"/>
        <w:ind w:firstLine="284"/>
        <w:jc w:val="both"/>
        <w:rPr>
          <w:rFonts w:ascii="Times New Roman" w:hAnsi="Times New Roman" w:cs="Times New Roman"/>
          <w:sz w:val="28"/>
          <w:szCs w:val="28"/>
        </w:rPr>
      </w:pPr>
      <w:r w:rsidRPr="001E6B12">
        <w:rPr>
          <w:rFonts w:ascii="Times New Roman" w:hAnsi="Times New Roman" w:cs="Times New Roman"/>
          <w:sz w:val="28"/>
          <w:szCs w:val="28"/>
        </w:rPr>
        <w:t>ШІ</w:t>
      </w:r>
      <w:r w:rsidR="00E85680" w:rsidRPr="00E05949">
        <w:rPr>
          <w:rFonts w:ascii="Times New Roman" w:hAnsi="Times New Roman" w:cs="Times New Roman"/>
          <w:sz w:val="28"/>
          <w:szCs w:val="28"/>
        </w:rPr>
        <w:t xml:space="preserve"> у такій ситуації не усуває правової невизначеності. </w:t>
      </w:r>
      <w:r w:rsidR="00D5300A" w:rsidRPr="00E05949">
        <w:rPr>
          <w:rFonts w:ascii="Times New Roman" w:hAnsi="Times New Roman" w:cs="Times New Roman"/>
          <w:sz w:val="28"/>
          <w:szCs w:val="28"/>
        </w:rPr>
        <w:t>Я</w:t>
      </w:r>
      <w:r w:rsidR="00E85680" w:rsidRPr="00E05949">
        <w:rPr>
          <w:rFonts w:ascii="Times New Roman" w:hAnsi="Times New Roman" w:cs="Times New Roman"/>
          <w:sz w:val="28"/>
          <w:szCs w:val="28"/>
        </w:rPr>
        <w:t xml:space="preserve">кщо </w:t>
      </w:r>
      <w:r w:rsidR="00D5300A" w:rsidRPr="00E05949">
        <w:rPr>
          <w:rFonts w:ascii="Times New Roman" w:hAnsi="Times New Roman" w:cs="Times New Roman"/>
          <w:sz w:val="28"/>
          <w:szCs w:val="28"/>
        </w:rPr>
        <w:t xml:space="preserve">ж </w:t>
      </w:r>
      <w:r w:rsidR="00E85680" w:rsidRPr="00E05949">
        <w:rPr>
          <w:rFonts w:ascii="Times New Roman" w:hAnsi="Times New Roman" w:cs="Times New Roman"/>
          <w:sz w:val="28"/>
          <w:szCs w:val="28"/>
        </w:rPr>
        <w:t xml:space="preserve">алгоритмічна система побудована на нечітких правових критеріях, </w:t>
      </w:r>
      <w:r w:rsidR="009036B9" w:rsidRPr="00E05949">
        <w:rPr>
          <w:rFonts w:ascii="Times New Roman" w:hAnsi="Times New Roman" w:cs="Times New Roman"/>
          <w:sz w:val="28"/>
          <w:szCs w:val="28"/>
        </w:rPr>
        <w:t xml:space="preserve">вона здатна відтворювати цю невизначеність у масовому масштабі, надаючи їй вигляду </w:t>
      </w:r>
      <w:r w:rsidR="00C116BB" w:rsidRPr="00E05949">
        <w:rPr>
          <w:rFonts w:ascii="Times New Roman" w:hAnsi="Times New Roman" w:cs="Times New Roman"/>
          <w:sz w:val="28"/>
          <w:szCs w:val="28"/>
        </w:rPr>
        <w:t>формально нейтрального результату</w:t>
      </w:r>
      <w:r w:rsidR="00E85680" w:rsidRPr="00E05949">
        <w:rPr>
          <w:rFonts w:ascii="Times New Roman" w:hAnsi="Times New Roman" w:cs="Times New Roman"/>
          <w:sz w:val="28"/>
          <w:szCs w:val="28"/>
        </w:rPr>
        <w:t>. Алгоритм може бути ефективним у виявленні формальних збігів, повторюваних закономірностей або невідповідностей, але він не може замінити юридичне тлумачення категорій, які мають конституційно чутливий зміст.</w:t>
      </w:r>
    </w:p>
    <w:p w14:paraId="358AF927" w14:textId="77777777" w:rsidR="00E85680" w:rsidRPr="00E05949" w:rsidRDefault="00EF5B80" w:rsidP="00E05949">
      <w:pPr>
        <w:spacing w:after="0" w:line="360" w:lineRule="auto"/>
        <w:ind w:firstLine="284"/>
        <w:jc w:val="both"/>
        <w:rPr>
          <w:rFonts w:ascii="Times New Roman" w:hAnsi="Times New Roman" w:cs="Times New Roman"/>
          <w:sz w:val="28"/>
          <w:szCs w:val="28"/>
        </w:rPr>
      </w:pPr>
      <w:r w:rsidRPr="00EF5B80">
        <w:rPr>
          <w:rFonts w:ascii="Times New Roman" w:hAnsi="Times New Roman" w:cs="Times New Roman"/>
          <w:sz w:val="28"/>
          <w:szCs w:val="28"/>
        </w:rPr>
        <w:t xml:space="preserve">Законодавство про запобігання надмірному впливу осіб, які мають значну економічну та політичну вагу, свідчить, що український правопорядок визнає концентрацію непрозорого приватного впливу на політичні, медійні та економічні процеси загрозою демократії, державному суверенітету та публічному інтересу [18]. Водночас Венеційська комісія наголосила, що протидія такому впливу має здійснюватися переважно системними засобами, а </w:t>
      </w:r>
      <w:r w:rsidRPr="00EF5B80">
        <w:rPr>
          <w:rFonts w:ascii="Times New Roman" w:hAnsi="Times New Roman" w:cs="Times New Roman"/>
          <w:sz w:val="28"/>
          <w:szCs w:val="28"/>
        </w:rPr>
        <w:lastRenderedPageBreak/>
        <w:t>персоніфікований підхід, заснований на нечітких критеріях, широкій дискреції та недостатніх процедурних гарантіях, створює ризики для верховенства права, політичного плюралізму та прав людини [36]. Для інституту лобіювання це означає, що правомірне і прозоре представлення інтересів необхідно чітко відмежовувати від прихованого або надмірного впливу, не допускаючи механічного перенесення на лобістську діяльність спеціальних обмежувальних механізмів, установлених для інших правових режимів.</w:t>
      </w:r>
    </w:p>
    <w:p w14:paraId="2F852762" w14:textId="77777777" w:rsidR="00E85680" w:rsidRDefault="00577A1F" w:rsidP="00E05949">
      <w:pPr>
        <w:spacing w:after="0" w:line="360" w:lineRule="auto"/>
        <w:ind w:firstLine="284"/>
        <w:jc w:val="both"/>
        <w:rPr>
          <w:rFonts w:ascii="Times New Roman" w:hAnsi="Times New Roman" w:cs="Times New Roman"/>
          <w:sz w:val="28"/>
          <w:szCs w:val="28"/>
        </w:rPr>
      </w:pPr>
      <w:r w:rsidRPr="00577A1F">
        <w:rPr>
          <w:rFonts w:ascii="Times New Roman" w:hAnsi="Times New Roman" w:cs="Times New Roman"/>
          <w:sz w:val="28"/>
          <w:szCs w:val="28"/>
        </w:rPr>
        <w:t>Необхідною</w:t>
      </w:r>
      <w:r w:rsidR="008F6E25" w:rsidRPr="00E05949">
        <w:rPr>
          <w:rFonts w:ascii="Times New Roman" w:hAnsi="Times New Roman" w:cs="Times New Roman"/>
          <w:sz w:val="28"/>
          <w:szCs w:val="28"/>
        </w:rPr>
        <w:t xml:space="preserve"> умовою </w:t>
      </w:r>
      <w:r w:rsidR="00E85680" w:rsidRPr="00E05949">
        <w:rPr>
          <w:rFonts w:ascii="Times New Roman" w:hAnsi="Times New Roman" w:cs="Times New Roman"/>
          <w:sz w:val="28"/>
          <w:szCs w:val="28"/>
        </w:rPr>
        <w:t xml:space="preserve">правомірності лобіювання є прозорість лобістської комунікації. Лобіювання підлягає правовому визнанню саме тому, що демократична держава не усуває інтереси з правотворчого процесу, а встановлює для їх представлення відкриті, підзвітні та перевірювані правила. За такого підходу прозорість не є додатковою адміністративною вимогою. </w:t>
      </w:r>
      <w:r w:rsidR="007A1EF0" w:rsidRPr="007A1EF0">
        <w:rPr>
          <w:rFonts w:ascii="Times New Roman" w:hAnsi="Times New Roman" w:cs="Times New Roman"/>
          <w:sz w:val="28"/>
          <w:szCs w:val="28"/>
        </w:rPr>
        <w:t>Вона становить одну з основних умов легітимності саме лобістського впливу на правотворчість</w:t>
      </w:r>
      <w:r w:rsidR="00E85680" w:rsidRPr="00E05949">
        <w:rPr>
          <w:rFonts w:ascii="Times New Roman" w:hAnsi="Times New Roman" w:cs="Times New Roman"/>
          <w:sz w:val="28"/>
          <w:szCs w:val="28"/>
        </w:rPr>
        <w:t>.</w:t>
      </w:r>
    </w:p>
    <w:p w14:paraId="2244A8C1" w14:textId="77777777" w:rsidR="006A715B" w:rsidRPr="00E05949" w:rsidRDefault="006A715B" w:rsidP="00E05949">
      <w:pPr>
        <w:spacing w:after="0" w:line="360" w:lineRule="auto"/>
        <w:ind w:firstLine="284"/>
        <w:jc w:val="both"/>
        <w:rPr>
          <w:rFonts w:ascii="Times New Roman" w:hAnsi="Times New Roman" w:cs="Times New Roman"/>
          <w:sz w:val="28"/>
          <w:szCs w:val="28"/>
        </w:rPr>
      </w:pPr>
      <w:r w:rsidRPr="006A715B">
        <w:rPr>
          <w:rFonts w:ascii="Times New Roman" w:hAnsi="Times New Roman" w:cs="Times New Roman"/>
          <w:sz w:val="28"/>
          <w:szCs w:val="28"/>
        </w:rPr>
        <w:t>Такий підхід відповідає сучасним стандартам OECD, відповідно до яких гарантії доброчесності та прозорості лобіювання мають запобігати асиметричному або неправомірному впливу на формування публічної політики, не усуваючи водночас правомірного представлення знань, експертних позицій та інтересів у правотворчому процесі [41]. Отже, конституційне завдання регулювання полягає не у мінімізації впливу приватних інтересів як такого, а у забезпеченні його відкритості, рівності процедурних можливостей і підконтрольності публічному інтересу.</w:t>
      </w:r>
    </w:p>
    <w:p w14:paraId="3F0AB8E6" w14:textId="77777777" w:rsidR="00E85680"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Реєстр прозорості є центральним цифровим механізмом цього інституту. Відповідно до постанови Кабінету Міністрів України від 15 жовтня 2024 року № 1175, він функціонує як інформаційно-комунікаційна система, що забезпечує збирання, накопичення, захист, облік, відображення, оброблення та надання інформації про суб’єктів лобіювання і їхню звітність [5]. Його призначення полягає не лише в адміністративному обліку, а й у забезпеченні публічної підзвітності впливу на правотворчий процес.</w:t>
      </w:r>
    </w:p>
    <w:p w14:paraId="19641FA8" w14:textId="77777777" w:rsidR="006A715B" w:rsidRDefault="006A715B" w:rsidP="00E05949">
      <w:pPr>
        <w:spacing w:after="0" w:line="360" w:lineRule="auto"/>
        <w:ind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Значення цієї інфраструктури підтверджується першою комплексною оцінкою OECD після введення Закону України «Про лобіювання» в дію. За даними OECD 2026 року, Україна відповідає 80 % критеріїв OECD щодо нормативно-правового </w:t>
      </w:r>
      <w:r w:rsidRPr="006A715B">
        <w:rPr>
          <w:rFonts w:ascii="Times New Roman" w:hAnsi="Times New Roman" w:cs="Times New Roman"/>
          <w:sz w:val="28"/>
          <w:szCs w:val="28"/>
        </w:rPr>
        <w:lastRenderedPageBreak/>
        <w:t>регулювання лобіювання та 89 % критеріїв щодо його практичної реалізації, тоді як середні показники держав OECD становлять відповідно 43 % і 38 % [42]. Водночас високий формальний рівень прозорості не усуває потреби у подальшому розвитку аналітичної придатності реєстрових даних та гарантій їх правомірного використання.</w:t>
      </w:r>
    </w:p>
    <w:p w14:paraId="311F2A2D" w14:textId="77777777" w:rsidR="006A715B" w:rsidRPr="00E05949" w:rsidRDefault="006A715B" w:rsidP="00E05949">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Крім того, п</w:t>
      </w:r>
      <w:r w:rsidRPr="006A715B">
        <w:rPr>
          <w:rFonts w:ascii="Times New Roman" w:hAnsi="Times New Roman" w:cs="Times New Roman"/>
          <w:sz w:val="28"/>
          <w:szCs w:val="28"/>
        </w:rPr>
        <w:t xml:space="preserve">ерші дані практичного функціонування Реєстру прозорості водночас свідчать про істотну концентрацію задекларованої лобістської активності: за </w:t>
      </w:r>
      <w:r w:rsidR="007A1EF0" w:rsidRPr="007A1EF0">
        <w:rPr>
          <w:rFonts w:ascii="Times New Roman" w:hAnsi="Times New Roman" w:cs="Times New Roman"/>
          <w:sz w:val="28"/>
          <w:szCs w:val="28"/>
        </w:rPr>
        <w:t>оприлюдненим аналізом звітності за I півріччя 2026 рок</w:t>
      </w:r>
      <w:r w:rsidRPr="006A715B">
        <w:rPr>
          <w:rFonts w:ascii="Times New Roman" w:hAnsi="Times New Roman" w:cs="Times New Roman"/>
          <w:sz w:val="28"/>
          <w:szCs w:val="28"/>
        </w:rPr>
        <w:t>у три суб’єкти припадали на 52,8 % усіх задекларованих взаємодій, а десять найбільш активних — на 83,5 % [44]. Такі дані самі по собі не свідчать про неправомірність впливу, однак підтверджують значення прозорості та можливості аналізувати концентрацію каналів впливу на правотворчість.</w:t>
      </w:r>
    </w:p>
    <w:p w14:paraId="13A1D864"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Водночас відкритість Реєстру прозорості не може тлумачитися як необмежений дозвіл на будь-яку автоматизовану обробку пов’язаних із ним відомостей. Закон України «Про доступ до публічної інформації» закріплює презумпцію відкритості публічної інформації, однак ця презумпція співіснує з режимами обмеження доступу та захисту інших прав [3]. Закон України «Про захист персональних даних» регулює, зокрема, обробку персональних даних із застосуванням автоматизованих засобів і спрямований на захист права на невтручання в особисте життя [4]. Тому цифрова прозорість у процесі </w:t>
      </w:r>
      <w:r w:rsidR="001C7B0D">
        <w:rPr>
          <w:rFonts w:ascii="Times New Roman" w:hAnsi="Times New Roman" w:cs="Times New Roman"/>
          <w:sz w:val="28"/>
          <w:szCs w:val="28"/>
        </w:rPr>
        <w:t>правомір</w:t>
      </w:r>
      <w:r w:rsidRPr="00E05949">
        <w:rPr>
          <w:rFonts w:ascii="Times New Roman" w:hAnsi="Times New Roman" w:cs="Times New Roman"/>
          <w:sz w:val="28"/>
          <w:szCs w:val="28"/>
        </w:rPr>
        <w:t>ного представлення інтересів має бути цільовою, пропорційною і пов’язаною з легітимною метою публічного контролю за правотворчим процесом.</w:t>
      </w:r>
    </w:p>
    <w:p w14:paraId="42F73837" w14:textId="77777777" w:rsidR="00C116BB" w:rsidRPr="00E05949" w:rsidRDefault="00C116B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Закон України № 1780-IX і Положення, затверджене рішенням </w:t>
      </w:r>
      <w:r w:rsidR="008468D0" w:rsidRPr="008468D0">
        <w:rPr>
          <w:rFonts w:ascii="Times New Roman" w:hAnsi="Times New Roman" w:cs="Times New Roman"/>
          <w:sz w:val="28"/>
          <w:szCs w:val="28"/>
        </w:rPr>
        <w:t>Ради національної безпеки і оборони України</w:t>
      </w:r>
      <w:r w:rsidRPr="00E05949">
        <w:rPr>
          <w:rFonts w:ascii="Times New Roman" w:hAnsi="Times New Roman" w:cs="Times New Roman"/>
          <w:sz w:val="28"/>
          <w:szCs w:val="28"/>
        </w:rPr>
        <w:t xml:space="preserve">, введеним у дію Указом Президента України № 459/2022, </w:t>
      </w:r>
      <w:r w:rsidR="004D71C7" w:rsidRPr="004D71C7">
        <w:rPr>
          <w:rFonts w:ascii="Times New Roman" w:hAnsi="Times New Roman" w:cs="Times New Roman"/>
          <w:sz w:val="28"/>
          <w:szCs w:val="28"/>
        </w:rPr>
        <w:t xml:space="preserve">передбачають цифрову фіксацію визначених законом відомостей про таких осіб та декларацій про контакти </w:t>
      </w:r>
      <w:r w:rsidRPr="00E05949">
        <w:rPr>
          <w:rFonts w:ascii="Times New Roman" w:hAnsi="Times New Roman" w:cs="Times New Roman"/>
          <w:sz w:val="28"/>
          <w:szCs w:val="28"/>
        </w:rPr>
        <w:t xml:space="preserve">[18; 19]. </w:t>
      </w:r>
      <w:r w:rsidR="00751402" w:rsidRPr="00751402">
        <w:rPr>
          <w:rFonts w:ascii="Times New Roman" w:hAnsi="Times New Roman" w:cs="Times New Roman"/>
          <w:sz w:val="28"/>
          <w:szCs w:val="28"/>
        </w:rPr>
        <w:t>Це відображає нормативне прагнення сформувати в українському правопорядку ширший підхід</w:t>
      </w:r>
      <w:r w:rsidRPr="00E05949">
        <w:rPr>
          <w:rFonts w:ascii="Times New Roman" w:hAnsi="Times New Roman" w:cs="Times New Roman"/>
          <w:sz w:val="28"/>
          <w:szCs w:val="28"/>
        </w:rPr>
        <w:t>, за якого значущий вплив на публічну владу має бути не лише нормативно врегульованим, а й доступним для публічної перевірки.</w:t>
      </w:r>
    </w:p>
    <w:p w14:paraId="21345F30"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lastRenderedPageBreak/>
        <w:t xml:space="preserve">Проте зазначений підхід водночас виявляє важливу конституційну межу: цифрова фіксація контактів, комунікацій або статусів не повинна перетворюватися на непропорційний інструмент нагляду за правомірною політичною, професійною чи громадською активністю. У цьому сенсі Реєстр прозорості має забезпечувати публічну видимість правомірного впливу на правотворчість, але </w:t>
      </w:r>
      <w:r w:rsidR="00507439" w:rsidRPr="00507439">
        <w:rPr>
          <w:rFonts w:ascii="Times New Roman" w:hAnsi="Times New Roman" w:cs="Times New Roman"/>
          <w:sz w:val="28"/>
          <w:szCs w:val="28"/>
        </w:rPr>
        <w:t>не повинен ставати основою для необмеженого профілювання учасників публічної комунікації, встановлення їхніх мережевих зв’язків або персоналізованого нагляду за їхньою правомірною діяльністю</w:t>
      </w:r>
      <w:r w:rsidRPr="00E05949">
        <w:rPr>
          <w:rFonts w:ascii="Times New Roman" w:hAnsi="Times New Roman" w:cs="Times New Roman"/>
          <w:sz w:val="28"/>
          <w:szCs w:val="28"/>
        </w:rPr>
        <w:t>.</w:t>
      </w:r>
    </w:p>
    <w:p w14:paraId="713479AB"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У межах цього підходу особливого значення набуває інститут </w:t>
      </w:r>
      <w:r w:rsidR="008468D0">
        <w:rPr>
          <w:rFonts w:ascii="Times New Roman" w:hAnsi="Times New Roman" w:cs="Times New Roman"/>
          <w:sz w:val="28"/>
          <w:szCs w:val="28"/>
        </w:rPr>
        <w:t>законодавчого</w:t>
      </w:r>
      <w:r w:rsidRPr="00E05949">
        <w:rPr>
          <w:rFonts w:ascii="Times New Roman" w:hAnsi="Times New Roman" w:cs="Times New Roman"/>
          <w:sz w:val="28"/>
          <w:szCs w:val="28"/>
        </w:rPr>
        <w:t xml:space="preserve"> сліду. Цей інститут може бути визначений як документована та доступна для перевірки інформаційна траєкторія підготовки нормативно-правового акта, яка відображає основні суб’єкти впливу, зміст поданих пропозицій, етапи їх розгляду та </w:t>
      </w:r>
      <w:r w:rsidR="007A1EF0" w:rsidRPr="007A1EF0">
        <w:rPr>
          <w:rFonts w:ascii="Times New Roman" w:hAnsi="Times New Roman" w:cs="Times New Roman"/>
          <w:sz w:val="28"/>
          <w:szCs w:val="28"/>
        </w:rPr>
        <w:t>їх можливе відображення в остаточному тексті акта</w:t>
      </w:r>
      <w:r w:rsidRPr="00E05949">
        <w:rPr>
          <w:rFonts w:ascii="Times New Roman" w:hAnsi="Times New Roman" w:cs="Times New Roman"/>
          <w:sz w:val="28"/>
          <w:szCs w:val="28"/>
        </w:rPr>
        <w:t xml:space="preserve">. На відміну від загальної відкритості даних, </w:t>
      </w:r>
      <w:r w:rsidR="008468D0">
        <w:rPr>
          <w:rFonts w:ascii="Times New Roman" w:hAnsi="Times New Roman" w:cs="Times New Roman"/>
          <w:sz w:val="28"/>
          <w:szCs w:val="28"/>
        </w:rPr>
        <w:t>законодавчий</w:t>
      </w:r>
      <w:r w:rsidR="00D5300A" w:rsidRPr="00E05949">
        <w:rPr>
          <w:rFonts w:ascii="Times New Roman" w:hAnsi="Times New Roman" w:cs="Times New Roman"/>
          <w:sz w:val="28"/>
          <w:szCs w:val="28"/>
        </w:rPr>
        <w:t xml:space="preserve"> слід</w:t>
      </w:r>
      <w:r w:rsidRPr="00E05949">
        <w:rPr>
          <w:rFonts w:ascii="Times New Roman" w:hAnsi="Times New Roman" w:cs="Times New Roman"/>
          <w:sz w:val="28"/>
          <w:szCs w:val="28"/>
        </w:rPr>
        <w:t xml:space="preserve"> </w:t>
      </w:r>
      <w:r w:rsidR="007A1EF0" w:rsidRPr="007A1EF0">
        <w:rPr>
          <w:rFonts w:ascii="Times New Roman" w:hAnsi="Times New Roman" w:cs="Times New Roman"/>
          <w:sz w:val="28"/>
          <w:szCs w:val="28"/>
        </w:rPr>
        <w:t>дає змогу простежити суб’єктів, зміст і послідовність лобістської та іншої правотворчої комунікації та зіставити подані пропозиції з подальшими змінами проєкту акта</w:t>
      </w:r>
      <w:r w:rsidRPr="00E05949">
        <w:rPr>
          <w:rFonts w:ascii="Times New Roman" w:hAnsi="Times New Roman" w:cs="Times New Roman"/>
          <w:sz w:val="28"/>
          <w:szCs w:val="28"/>
        </w:rPr>
        <w:t>.</w:t>
      </w:r>
    </w:p>
    <w:p w14:paraId="052C8F09" w14:textId="08F25DC2" w:rsidR="00E85680"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Цифровізація лобіювання через Реєстр прозорості дозволяє запровадити в українську правотворчу практику інститут </w:t>
      </w:r>
      <w:r w:rsidR="008468D0">
        <w:rPr>
          <w:rFonts w:ascii="Times New Roman" w:hAnsi="Times New Roman" w:cs="Times New Roman"/>
          <w:sz w:val="28"/>
          <w:szCs w:val="28"/>
        </w:rPr>
        <w:t>законодавчого</w:t>
      </w:r>
      <w:r w:rsidRPr="00E05949">
        <w:rPr>
          <w:rFonts w:ascii="Times New Roman" w:hAnsi="Times New Roman" w:cs="Times New Roman"/>
          <w:sz w:val="28"/>
          <w:szCs w:val="28"/>
        </w:rPr>
        <w:t xml:space="preserve"> сліду.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у цьому контексті може застосовуватися для формування </w:t>
      </w:r>
      <w:r w:rsidR="009036B9" w:rsidRPr="00E05949">
        <w:rPr>
          <w:rFonts w:ascii="Times New Roman" w:hAnsi="Times New Roman" w:cs="Times New Roman"/>
          <w:sz w:val="28"/>
          <w:szCs w:val="28"/>
        </w:rPr>
        <w:t>документованої траєкторії підготовки нормативно-правового акта</w:t>
      </w:r>
      <w:r w:rsidRPr="00E05949">
        <w:rPr>
          <w:rFonts w:ascii="Times New Roman" w:hAnsi="Times New Roman" w:cs="Times New Roman"/>
          <w:sz w:val="28"/>
          <w:szCs w:val="28"/>
        </w:rPr>
        <w:t xml:space="preserve">, відображення хронології змін, зіставлення зареєстрованих предметів лобіювання із редакціями проєкту акта, а також виявлення </w:t>
      </w:r>
      <w:r w:rsidR="007A1EF0" w:rsidRPr="007A1EF0">
        <w:rPr>
          <w:rFonts w:ascii="Times New Roman" w:hAnsi="Times New Roman" w:cs="Times New Roman"/>
          <w:sz w:val="28"/>
          <w:szCs w:val="28"/>
        </w:rPr>
        <w:t>повторюваних змістових і хронологічних збігів між лобістськими комунікаціями, поданими пропозиціями та змінами у проєктах нормативно-правових актів</w:t>
      </w:r>
      <w:r w:rsidRPr="00E05949">
        <w:rPr>
          <w:rFonts w:ascii="Times New Roman" w:hAnsi="Times New Roman" w:cs="Times New Roman"/>
          <w:sz w:val="28"/>
          <w:szCs w:val="28"/>
        </w:rPr>
        <w:t xml:space="preserve">. </w:t>
      </w:r>
      <w:r w:rsidR="002653D0" w:rsidRPr="00E05949">
        <w:rPr>
          <w:rFonts w:ascii="Times New Roman" w:hAnsi="Times New Roman" w:cs="Times New Roman"/>
          <w:sz w:val="28"/>
          <w:szCs w:val="28"/>
        </w:rPr>
        <w:t>Завдяки цьому прозорість є не лише станом (наявністю даних у реєстрі), а й засобом контролю за доброчесністю публічної процедури</w:t>
      </w:r>
      <w:r w:rsidRPr="00E05949">
        <w:rPr>
          <w:rFonts w:ascii="Times New Roman" w:hAnsi="Times New Roman" w:cs="Times New Roman"/>
          <w:sz w:val="28"/>
          <w:szCs w:val="28"/>
        </w:rPr>
        <w:t xml:space="preserve"> [</w:t>
      </w:r>
      <w:r w:rsidR="00F24616">
        <w:rPr>
          <w:rFonts w:ascii="Times New Roman" w:hAnsi="Times New Roman" w:cs="Times New Roman"/>
          <w:sz w:val="28"/>
          <w:szCs w:val="28"/>
        </w:rPr>
        <w:t>4</w:t>
      </w:r>
      <w:r w:rsidRPr="00E05949">
        <w:rPr>
          <w:rFonts w:ascii="Times New Roman" w:hAnsi="Times New Roman" w:cs="Times New Roman"/>
          <w:sz w:val="28"/>
          <w:szCs w:val="28"/>
        </w:rPr>
        <w:t>1].</w:t>
      </w:r>
    </w:p>
    <w:p w14:paraId="1977EDC4" w14:textId="77777777" w:rsidR="006A715B" w:rsidRDefault="006A715B" w:rsidP="00E05949">
      <w:pPr>
        <w:spacing w:after="0" w:line="360" w:lineRule="auto"/>
        <w:ind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Запропонований підхід узгоджується з концепцією public decision-making process footprint, яку OECD визначає як документування заінтересованих сторін, що намагалися вплинути на рішення або були залучені до його підготовки, поданих ними пропозицій та заходів щодо забезпечення інклюзивності правотворчого процесу [41]. Поєднання такого сліду з даними реєстру </w:t>
      </w:r>
      <w:r w:rsidRPr="006A715B">
        <w:rPr>
          <w:rFonts w:ascii="Times New Roman" w:hAnsi="Times New Roman" w:cs="Times New Roman"/>
          <w:sz w:val="28"/>
          <w:szCs w:val="28"/>
        </w:rPr>
        <w:lastRenderedPageBreak/>
        <w:t>лобіювання дозволяє відобразити не лише суб’єкта та предмет впливу, а й інформаційну траєкторію формування публічного рішення.</w:t>
      </w:r>
    </w:p>
    <w:p w14:paraId="28E93319" w14:textId="77777777" w:rsidR="00751402" w:rsidRPr="00E05949" w:rsidRDefault="00751402" w:rsidP="00E05949">
      <w:pPr>
        <w:spacing w:after="0" w:line="360" w:lineRule="auto"/>
        <w:ind w:firstLine="284"/>
        <w:jc w:val="both"/>
        <w:rPr>
          <w:rFonts w:ascii="Times New Roman" w:hAnsi="Times New Roman" w:cs="Times New Roman"/>
          <w:sz w:val="28"/>
          <w:szCs w:val="28"/>
        </w:rPr>
      </w:pPr>
      <w:r w:rsidRPr="00751402">
        <w:rPr>
          <w:rFonts w:ascii="Times New Roman" w:hAnsi="Times New Roman" w:cs="Times New Roman"/>
          <w:sz w:val="28"/>
          <w:szCs w:val="28"/>
        </w:rPr>
        <w:t>Інформаційною основою такого сліду можуть бути також редакції проєкту акта, матеріали публічних консультацій і пропозиції заінтересованих сторін, що дає змогу прозоро відображати вплив лобістських і ширших GR-комунікацій на правотворчий процес [24; 25].</w:t>
      </w:r>
    </w:p>
    <w:p w14:paraId="155A1715" w14:textId="77777777" w:rsidR="00E85680" w:rsidRPr="00E05949" w:rsidRDefault="00D5300A"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Разом з тим</w:t>
      </w:r>
      <w:r w:rsidR="00E85680" w:rsidRPr="00E05949">
        <w:rPr>
          <w:rFonts w:ascii="Times New Roman" w:hAnsi="Times New Roman" w:cs="Times New Roman"/>
          <w:sz w:val="28"/>
          <w:szCs w:val="28"/>
        </w:rPr>
        <w:t xml:space="preserve"> </w:t>
      </w:r>
      <w:r w:rsidR="008F6E25" w:rsidRPr="00E05949">
        <w:rPr>
          <w:rFonts w:ascii="Times New Roman" w:hAnsi="Times New Roman" w:cs="Times New Roman"/>
          <w:sz w:val="28"/>
          <w:szCs w:val="28"/>
        </w:rPr>
        <w:t xml:space="preserve">фіксація </w:t>
      </w:r>
      <w:r w:rsidR="008468D0">
        <w:rPr>
          <w:rFonts w:ascii="Times New Roman" w:hAnsi="Times New Roman" w:cs="Times New Roman"/>
          <w:sz w:val="28"/>
          <w:szCs w:val="28"/>
        </w:rPr>
        <w:t>законодавчого</w:t>
      </w:r>
      <w:r w:rsidR="008F6E25" w:rsidRPr="00E05949">
        <w:rPr>
          <w:rFonts w:ascii="Times New Roman" w:hAnsi="Times New Roman" w:cs="Times New Roman"/>
          <w:sz w:val="28"/>
          <w:szCs w:val="28"/>
        </w:rPr>
        <w:t xml:space="preserve"> сліду не повинна </w:t>
      </w:r>
      <w:r w:rsidR="00E85680" w:rsidRPr="00E05949">
        <w:rPr>
          <w:rFonts w:ascii="Times New Roman" w:hAnsi="Times New Roman" w:cs="Times New Roman"/>
          <w:sz w:val="28"/>
          <w:szCs w:val="28"/>
        </w:rPr>
        <w:t>ототожнюватися з презумпцією неправомірності впливу. Сам факт того, що певна пропозиція суб’єкта лобіювання знайшла відображення у проєкті нормативно-правового акта, не свідчить про порушення. Навпаки, у демократичній правовій державі врахування аргументованих пропозицій приватних, професійних або громадських суб’єктів може бути правомірним елементом відкритого правотворення. Юридично значущим є не сам збіг між пропозицією і текстом акта, а спосіб комунікації, наявність реєстрації та звітності, доброчесність процедури, відсутність неправомірної вигоди і можливість публічної перевірки.</w:t>
      </w:r>
    </w:p>
    <w:p w14:paraId="3C3441AB" w14:textId="77777777" w:rsidR="00E85680" w:rsidRDefault="007E01E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Водночас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має розглядатися не лише як інструмент державного чи громадського контролю, а й як засіб алгоритмічного лобіювання [9]. Генеративний ШІ, аналіз великих даних і </w:t>
      </w:r>
      <w:r w:rsidR="00C116BB" w:rsidRPr="00E05949">
        <w:rPr>
          <w:rFonts w:ascii="Times New Roman" w:hAnsi="Times New Roman" w:cs="Times New Roman"/>
          <w:sz w:val="28"/>
          <w:szCs w:val="28"/>
        </w:rPr>
        <w:t>адресне поширення повідомлень</w:t>
      </w:r>
      <w:r w:rsidR="009036B9"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можуть використовуватися заінтересованими групами для персоналізованого впливу на суб’єктів правотворчості, масового формування звернень, моделювання інформаційного середовища навколо законопроєкту або створення штучного ефекту суспільної підтримки. Ризиковим є не саме використання цифрових інструментів, а прихованість джерела впливу, імітація </w:t>
      </w:r>
      <w:r w:rsidR="009B1D26">
        <w:rPr>
          <w:rFonts w:ascii="Times New Roman" w:hAnsi="Times New Roman" w:cs="Times New Roman"/>
          <w:sz w:val="28"/>
          <w:szCs w:val="28"/>
        </w:rPr>
        <w:t xml:space="preserve">масової громадської активності </w:t>
      </w:r>
      <w:r w:rsidRPr="00E05949">
        <w:rPr>
          <w:rFonts w:ascii="Times New Roman" w:hAnsi="Times New Roman" w:cs="Times New Roman"/>
          <w:sz w:val="28"/>
          <w:szCs w:val="28"/>
        </w:rPr>
        <w:t>або уникнення реєстрації та звітності, якщо відповідна діяльність фактично має ознаки лобіювання [2; 9].</w:t>
      </w:r>
    </w:p>
    <w:p w14:paraId="3BC80A13" w14:textId="77777777" w:rsidR="006A715B" w:rsidRDefault="006A715B" w:rsidP="00E05949">
      <w:pPr>
        <w:spacing w:after="0" w:line="360" w:lineRule="auto"/>
        <w:ind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Такі ризики вже мають не лише теоретичний характер. OECD звертає увагу на необхідність адаптації правового регулювання до нових способів впливу, прямо згадуючи алгоритмічно посилені лобістські кампанії (algorithmically amplified lobbying campaigns) як одну з новітніх загроз доброчесності публічного прийняття рішень [41]. Одночасно стрімке зростання лобіювання питань ШІ у США та переважання серед найбільших його учасників корпорацій і </w:t>
      </w:r>
      <w:r w:rsidRPr="006A715B">
        <w:rPr>
          <w:rFonts w:ascii="Times New Roman" w:hAnsi="Times New Roman" w:cs="Times New Roman"/>
          <w:sz w:val="28"/>
          <w:szCs w:val="28"/>
        </w:rPr>
        <w:lastRenderedPageBreak/>
        <w:t>корпоративних об’єднань демонструють реальну концентрацію ресурсів впливу навколо формування правил для ШІ [40]. Це посилює значення вимог щодо встановлення реального джерела, бенефіціара, предмета та способу впливу, особливо якщо цифрові технології дають змогу масштабувати його або створювати зовнішні ознаки масової суспільної підтримки.</w:t>
      </w:r>
    </w:p>
    <w:p w14:paraId="04374349" w14:textId="77777777" w:rsidR="006A715B" w:rsidRPr="00E05949" w:rsidRDefault="006A715B" w:rsidP="00E05949">
      <w:pPr>
        <w:spacing w:after="0" w:line="360" w:lineRule="auto"/>
        <w:ind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Додаткового значення у цьому контексті набувають вимоги прозорості Акта ЄС про штучний інтелект, застосування яких розпочалося 2 серпня 2026 року. </w:t>
      </w:r>
      <w:r w:rsidR="00A83086" w:rsidRPr="00A83086">
        <w:rPr>
          <w:rFonts w:ascii="Times New Roman" w:hAnsi="Times New Roman" w:cs="Times New Roman"/>
          <w:sz w:val="28"/>
          <w:szCs w:val="28"/>
        </w:rPr>
        <w:t>Вони передбачають, зокрема, обов’язки щодо інформування про взаємодію з певними системами ШІ та забезпечення розпізнаваності або маркування визначених категорій контенту, створеного чи зміненого за допомогою ШІ</w:t>
      </w:r>
      <w:r w:rsidRPr="006A715B">
        <w:rPr>
          <w:rFonts w:ascii="Times New Roman" w:hAnsi="Times New Roman" w:cs="Times New Roman"/>
          <w:sz w:val="28"/>
          <w:szCs w:val="28"/>
        </w:rPr>
        <w:t>, у тому числі у машинозчитуваній формі; Європейська Комісія прямо пов’язує такі вимоги зі зменшенням ризиків обману та маніпуляції [43]. Для сфери лобіювання ці гарантії мають особливе значення тоді, коли генеративний ШІ використовується для масового або персоналізованого поширення повідомлень, здатних створювати хибне уявлення про їх походження чи масштаб суспільної підтримки.</w:t>
      </w:r>
    </w:p>
    <w:p w14:paraId="571D0CD4"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Практика Великої Палати Верховного Суду у справах щодо відкритих даних і доступу до інформації має значення для визначення балансу між відкритістю та захистом прав особи. У справі № 990/162/24 предметом спору було неоприлюднення суддівських досьє, що безпосередньо стосувалося громадського контролю за діяльністю органу суддівського врядування [12]. У справі № 990/406/24 оцінювалося питання оновлення набору відкритих даних щодо декларацій родинних зв’язків та доброчесності [13]. Ці справи підтверджують, що відкритість інформації у конституційно значущих процедурах є важливою складовою підзвітності, однак вона не скасовує вимог законності, пропорційності та захисту інших конституційних цінностей.</w:t>
      </w:r>
    </w:p>
    <w:p w14:paraId="1081FB88" w14:textId="77777777" w:rsidR="00E85680" w:rsidRPr="00E05949" w:rsidRDefault="00C116B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Після </w:t>
      </w:r>
      <w:r w:rsidR="00507439">
        <w:rPr>
          <w:rFonts w:ascii="Times New Roman" w:hAnsi="Times New Roman" w:cs="Times New Roman"/>
          <w:sz w:val="28"/>
          <w:szCs w:val="28"/>
        </w:rPr>
        <w:t>введення в дію</w:t>
      </w:r>
      <w:r w:rsidRPr="00E05949">
        <w:rPr>
          <w:rFonts w:ascii="Times New Roman" w:hAnsi="Times New Roman" w:cs="Times New Roman"/>
          <w:sz w:val="28"/>
          <w:szCs w:val="28"/>
        </w:rPr>
        <w:t xml:space="preserve"> Закону України «Про лобіювання» значення має не лише створення Реєстру прозорості, а й практична організація моніторингу дотримання вимог законодавства з питань лобіювання</w:t>
      </w:r>
      <w:r w:rsidR="00E85680" w:rsidRPr="00E05949">
        <w:rPr>
          <w:rFonts w:ascii="Times New Roman" w:hAnsi="Times New Roman" w:cs="Times New Roman"/>
          <w:sz w:val="28"/>
          <w:szCs w:val="28"/>
        </w:rPr>
        <w:t xml:space="preserve">. Наказ НАЗК від 3 жовтня 2025 року № 303/25 затвердив відповідний Порядок, який визначає процедуру моніторингу, зокрема щодо достовірності відомостей, поданих до Реєстру </w:t>
      </w:r>
      <w:r w:rsidR="00E85680" w:rsidRPr="00E05949">
        <w:rPr>
          <w:rFonts w:ascii="Times New Roman" w:hAnsi="Times New Roman" w:cs="Times New Roman"/>
          <w:sz w:val="28"/>
          <w:szCs w:val="28"/>
        </w:rPr>
        <w:lastRenderedPageBreak/>
        <w:t>прозорості, достовірності звітів та виявлення ознак здійснення лобіювання особою, яка не набула статусу суб’єкта лобіювання [21].</w:t>
      </w:r>
    </w:p>
    <w:p w14:paraId="659B5411" w14:textId="77777777" w:rsidR="00C116BB" w:rsidRPr="00E05949" w:rsidRDefault="00EF5B80" w:rsidP="00E05949">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Зазначений </w:t>
      </w:r>
      <w:r w:rsidR="00C116BB" w:rsidRPr="00E05949">
        <w:rPr>
          <w:rFonts w:ascii="Times New Roman" w:hAnsi="Times New Roman" w:cs="Times New Roman"/>
          <w:sz w:val="28"/>
          <w:szCs w:val="28"/>
        </w:rPr>
        <w:t>Порядок встановлює важливі процедурні запобіжники для моніторингу із застосуванням відкритих джерел. Зокрема, інформація з медіа, мережі Інтернет та інших відкритих джерел може використовуватися лише за умови, що вона містить фактичні дані, які підлягають перевірці Національним агентством. Крім того, Порядок передбачає додержання законодавства про захист персональних даних і заборону надмірного втручання у діяльність об’єктів моніторингу [21]. Отже, навіть на підзаконному рівні моніторинг лобіювання обмежений вимогами перевірюваності, законності та пропорційності.</w:t>
      </w:r>
    </w:p>
    <w:p w14:paraId="12F4EAD8" w14:textId="77777777" w:rsidR="007E01EB" w:rsidRPr="00E05949" w:rsidRDefault="007E01E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Використання алгоритмічних інструментів НАЗК під час моніторингу відповідно до наказу № 303/25 має чітко розмежовувати стадію допоміжного збору інформації та стадію адміністративного провадження, у межах якого можуть виникати юридично значущі наслідки для особи [20; 21]. Автоматизований аналіз відкритих джерел, медіа, реєстрових даних або звітності може бути лише інструментом попередньої аналітики. </w:t>
      </w:r>
      <w:r w:rsidR="00577A1F" w:rsidRPr="00577A1F">
        <w:rPr>
          <w:rFonts w:ascii="Times New Roman" w:hAnsi="Times New Roman" w:cs="Times New Roman"/>
          <w:sz w:val="28"/>
          <w:szCs w:val="28"/>
        </w:rPr>
        <w:t>Алгоритмічно сформовані індикатори ризику, інформаційні збіги чи автоматично виявлені ознаки незареєстрованого лобіювання не є юридичними фактами і не можуть самостійно підтверджувати порушення</w:t>
      </w:r>
      <w:r w:rsidRPr="00E05949">
        <w:rPr>
          <w:rFonts w:ascii="Times New Roman" w:hAnsi="Times New Roman" w:cs="Times New Roman"/>
          <w:sz w:val="28"/>
          <w:szCs w:val="28"/>
        </w:rPr>
        <w:t>.</w:t>
      </w:r>
    </w:p>
    <w:p w14:paraId="58E20BB4" w14:textId="77777777" w:rsidR="00E85680" w:rsidRPr="00E05949" w:rsidRDefault="007E01E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У разі використання алгоритмічного висновку в процедурі контролю НАЗК має забезпечити особі можливість знати зміст претензій, надати пояснення, бути заслуханою, подати докази та спростувати відповідні висновки. Такий підхід випливає з принципів верховенства права, юридичної визначеності, обґрунтованості, пропорційності, презумпції правомірності дій </w:t>
      </w:r>
      <w:r w:rsidR="00EF5B80">
        <w:rPr>
          <w:rFonts w:ascii="Times New Roman" w:hAnsi="Times New Roman" w:cs="Times New Roman"/>
          <w:sz w:val="28"/>
          <w:szCs w:val="28"/>
        </w:rPr>
        <w:t xml:space="preserve">та вимог </w:t>
      </w:r>
      <w:r w:rsidRPr="00E05949">
        <w:rPr>
          <w:rFonts w:ascii="Times New Roman" w:hAnsi="Times New Roman" w:cs="Times New Roman"/>
          <w:sz w:val="28"/>
          <w:szCs w:val="28"/>
        </w:rPr>
        <w:t>особи, права на участь в адміністративному провадженні та ефективного правового захисту [20; 21].</w:t>
      </w:r>
    </w:p>
    <w:p w14:paraId="72E7CACF" w14:textId="77777777" w:rsidR="00E85680" w:rsidRPr="00E05949" w:rsidRDefault="002653D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Принципи обґрунтованості та пропорційності мають у цьому контексті самостійне значення</w:t>
      </w:r>
      <w:r w:rsidR="00E85680" w:rsidRPr="00E05949">
        <w:rPr>
          <w:rFonts w:ascii="Times New Roman" w:hAnsi="Times New Roman" w:cs="Times New Roman"/>
          <w:sz w:val="28"/>
          <w:szCs w:val="28"/>
        </w:rPr>
        <w:t xml:space="preserve">. Якщо адміністративний орган використовує алгоритмічні інструменти для оцінки ризиковості поведінки особи, він повинен бути здатним пояснити, які саме дані були використані, за якими критеріями здійснювався </w:t>
      </w:r>
      <w:r w:rsidR="00E85680" w:rsidRPr="00E05949">
        <w:rPr>
          <w:rFonts w:ascii="Times New Roman" w:hAnsi="Times New Roman" w:cs="Times New Roman"/>
          <w:sz w:val="28"/>
          <w:szCs w:val="28"/>
        </w:rPr>
        <w:lastRenderedPageBreak/>
        <w:t>аналіз, яку роль відіграв алгоритм у процедурі та чому остаточне рішення відповідає закону. Адміністративний акт або інше юридично значуще рішення не може ґрунтуватися на непояснюваному результаті моделі, логіка якої недоступна ані особі, ані суду.</w:t>
      </w:r>
    </w:p>
    <w:p w14:paraId="415C5FE9"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Відмежування лобіювання від адвокації, громадської участі, експертної діяльності, звернень громадян та інших форм реалізації політичних прав є необхідною передумовою пропорційного контролю. Невиправдано широке тлумачення лобіювання може призвести до обмеження свободи вираження поглядів, свободи об’єднань, права на звернення та участі в управлінні державними справами [7]. У разі використання алгоритмічних інструментів цей ризик посилюється, оскільки автоматизовані системи зазвичай працюють через класифікацію поведінкових ознак, частоти контактів, тематичних збігів або повторюваності комунікації.</w:t>
      </w:r>
    </w:p>
    <w:p w14:paraId="0FD8391A" w14:textId="77777777" w:rsidR="00E85680" w:rsidRPr="00E05949" w:rsidRDefault="007E01E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У практичному вимірі це означає, що алгоритм не повинен оцінювати лише кількісні параметри комунікації: кількість звернень, частоту зустрічей, повторюваність теми або хронологічну близькість між пропозицією та зміною тексту нормативно-правового акта. Однакова за інтенсивністю комунікація може бути лобіюванням, </w:t>
      </w:r>
      <w:r w:rsidR="003078A6" w:rsidRPr="003078A6">
        <w:rPr>
          <w:rFonts w:ascii="Times New Roman" w:hAnsi="Times New Roman" w:cs="Times New Roman"/>
          <w:sz w:val="28"/>
          <w:szCs w:val="28"/>
        </w:rPr>
        <w:t>правомірною GR-комунікацією суб’єкта господарювання з органами публічної влади</w:t>
      </w:r>
      <w:r w:rsidRPr="00E05949">
        <w:rPr>
          <w:rFonts w:ascii="Times New Roman" w:hAnsi="Times New Roman" w:cs="Times New Roman"/>
          <w:sz w:val="28"/>
          <w:szCs w:val="28"/>
        </w:rPr>
        <w:t>, професійною адвокацією, участю у публічних консультаціях або реалізацією права на звернення. Для юридичної кваліфікації необхідно встановити предмет комунікації, наявність комерційного інтересу, статус суб’єкта, характер бенефіціара та зв’язок із нормативно-правовим актом [2; 7; 24–27].</w:t>
      </w:r>
    </w:p>
    <w:p w14:paraId="75134A8C" w14:textId="77777777" w:rsidR="00E85680"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Якщо законодавчі критерії недостатньо визначені, алгоритмічна система може помилково віднести до лобіювання діяльність громадських організацій, професійних спільнот, науковців, експертів або громадян, які реалізують конституційні права. Тому правова визначеність у сфері лобіювання є не лише вимогою належної законодавчої техніки, а й гарантією недопущення непропорційного втручання у політичні права.</w:t>
      </w:r>
    </w:p>
    <w:p w14:paraId="001FCE3B" w14:textId="77777777" w:rsidR="001C7B0D" w:rsidRPr="00E05949" w:rsidRDefault="001C7B0D" w:rsidP="00E05949">
      <w:pPr>
        <w:spacing w:after="0" w:line="360" w:lineRule="auto"/>
        <w:ind w:firstLine="284"/>
        <w:jc w:val="both"/>
        <w:rPr>
          <w:rFonts w:ascii="Times New Roman" w:hAnsi="Times New Roman" w:cs="Times New Roman"/>
          <w:sz w:val="28"/>
          <w:szCs w:val="28"/>
        </w:rPr>
      </w:pPr>
      <w:r w:rsidRPr="001C7B0D">
        <w:rPr>
          <w:rFonts w:ascii="Times New Roman" w:hAnsi="Times New Roman" w:cs="Times New Roman"/>
          <w:sz w:val="28"/>
          <w:szCs w:val="28"/>
        </w:rPr>
        <w:t xml:space="preserve">Автоматизоване віднесення частих або тематично повторюваних комунікацій до ознак незареєстрованого лобіювання може створювати стримуючий ефект для </w:t>
      </w:r>
      <w:r w:rsidRPr="001C7B0D">
        <w:rPr>
          <w:rFonts w:ascii="Times New Roman" w:hAnsi="Times New Roman" w:cs="Times New Roman"/>
          <w:sz w:val="28"/>
          <w:szCs w:val="28"/>
        </w:rPr>
        <w:lastRenderedPageBreak/>
        <w:t>реалізації гарантованих статтями 38 і 40 Конституції України прав на участь в управлінні державними справами та на звернення. Тому алгоритмічний моніторинг не повинен перетворювати спеціальний контроль за лобіюванням на засіб стримування правомірної громадської, професійної чи GR-комунікації.</w:t>
      </w:r>
    </w:p>
    <w:p w14:paraId="5F375A2A" w14:textId="77777777" w:rsidR="00E85680" w:rsidRPr="00E05949" w:rsidRDefault="002653D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Прозорість не вичерпує змісту правомірного лобіювання. Поряд із нею самостійне значення має доброчесність публічної процедури</w:t>
      </w:r>
      <w:r w:rsidR="00E85680" w:rsidRPr="00E05949">
        <w:rPr>
          <w:rFonts w:ascii="Times New Roman" w:hAnsi="Times New Roman" w:cs="Times New Roman"/>
          <w:sz w:val="28"/>
          <w:szCs w:val="28"/>
        </w:rPr>
        <w:t>. Вплив на правотворч</w:t>
      </w:r>
      <w:r w:rsidR="009B1D26">
        <w:rPr>
          <w:rFonts w:ascii="Times New Roman" w:hAnsi="Times New Roman" w:cs="Times New Roman"/>
          <w:sz w:val="28"/>
          <w:szCs w:val="28"/>
        </w:rPr>
        <w:t>у діяльність</w:t>
      </w:r>
      <w:r w:rsidR="00E85680" w:rsidRPr="00E05949">
        <w:rPr>
          <w:rFonts w:ascii="Times New Roman" w:hAnsi="Times New Roman" w:cs="Times New Roman"/>
          <w:sz w:val="28"/>
          <w:szCs w:val="28"/>
        </w:rPr>
        <w:t xml:space="preserve"> є сумісним із засадами правової держави лише тоді, коли він не деформує процедуру, не створює закритих каналів доступу до суб’єктів владних повноважень, не підміняє публічну аргументацію приватною домовленістю та не підриває довіру до інституцій.</w:t>
      </w:r>
    </w:p>
    <w:p w14:paraId="698AE7F4"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У цьому аспекті певне методологічне значення має постанова Великої Палати Верховного Суду від 16 лютого 2023 року у справі № 990/99/22, у якій оцінювалися питання професійної етики та доброчесності у процедурі, що має істотне публічне значення [17]. Хоча ця справа не стосується лобіювання у вузькому значенні, вона підтверджує, що у процедурах, пов’язаних із формуванням або функціонуванням публічної влади, доброчесність, перевірюваність підстав і довіра до процедури мають самостійне правове значення.</w:t>
      </w:r>
    </w:p>
    <w:p w14:paraId="10F17D0C" w14:textId="77777777" w:rsidR="00E85680" w:rsidRPr="00E05949" w:rsidRDefault="00507439" w:rsidP="00E05949">
      <w:pPr>
        <w:spacing w:after="0" w:line="360" w:lineRule="auto"/>
        <w:ind w:firstLine="284"/>
        <w:jc w:val="both"/>
        <w:rPr>
          <w:rFonts w:ascii="Times New Roman" w:hAnsi="Times New Roman" w:cs="Times New Roman"/>
          <w:sz w:val="28"/>
          <w:szCs w:val="28"/>
        </w:rPr>
      </w:pPr>
      <w:r w:rsidRPr="00507439">
        <w:rPr>
          <w:rFonts w:ascii="Times New Roman" w:hAnsi="Times New Roman" w:cs="Times New Roman"/>
          <w:sz w:val="28"/>
          <w:szCs w:val="28"/>
        </w:rPr>
        <w:t>Для відмежування правомірного лобіювання від кримінально караних форм використання впливу істотне значення мають мета і спосіб комунікації, наявність неправомірної вигоди, використання неформального персонального доступу та спрямованість дій на позапроцедурне прийняття рішення.</w:t>
      </w:r>
      <w:r w:rsidR="00E85680" w:rsidRPr="00E05949">
        <w:rPr>
          <w:rFonts w:ascii="Times New Roman" w:hAnsi="Times New Roman" w:cs="Times New Roman"/>
          <w:sz w:val="28"/>
          <w:szCs w:val="28"/>
        </w:rPr>
        <w:t xml:space="preserve"> Практика </w:t>
      </w:r>
      <w:r w:rsidRPr="00507439">
        <w:rPr>
          <w:rFonts w:ascii="Times New Roman" w:hAnsi="Times New Roman" w:cs="Times New Roman"/>
          <w:sz w:val="28"/>
          <w:szCs w:val="28"/>
        </w:rPr>
        <w:t xml:space="preserve">застосування статті 369-2 </w:t>
      </w:r>
      <w:r w:rsidR="008468D0" w:rsidRPr="008468D0">
        <w:rPr>
          <w:rFonts w:ascii="Times New Roman" w:hAnsi="Times New Roman" w:cs="Times New Roman"/>
          <w:sz w:val="28"/>
          <w:szCs w:val="28"/>
        </w:rPr>
        <w:t>Кримінального кодексу України</w:t>
      </w:r>
      <w:r w:rsidR="008468D0">
        <w:rPr>
          <w:rFonts w:ascii="Times New Roman" w:hAnsi="Times New Roman" w:cs="Times New Roman"/>
          <w:sz w:val="28"/>
          <w:szCs w:val="28"/>
        </w:rPr>
        <w:t xml:space="preserve"> </w:t>
      </w:r>
      <w:r w:rsidRPr="00507439">
        <w:rPr>
          <w:rFonts w:ascii="Times New Roman" w:hAnsi="Times New Roman" w:cs="Times New Roman"/>
          <w:sz w:val="28"/>
          <w:szCs w:val="28"/>
        </w:rPr>
        <w:t>ілюструє одну з найбільш небезпечних форм неправомірного впливу</w:t>
      </w:r>
      <w:r w:rsidR="00E85680" w:rsidRPr="00E05949">
        <w:rPr>
          <w:rFonts w:ascii="Times New Roman" w:hAnsi="Times New Roman" w:cs="Times New Roman"/>
          <w:sz w:val="28"/>
          <w:szCs w:val="28"/>
        </w:rPr>
        <w:t>. Постанова Касаційного кримінального суду у складі Верховного Суду від 21 травня 2024 року у справі № 686/8627/22 засвідчує, що кримінально-правове значення має не сам факт комунікації з уповноваженою особою, а одержання неправомірної вигоди за вплив на прийняття рішення [14].</w:t>
      </w:r>
    </w:p>
    <w:p w14:paraId="1B56DD13" w14:textId="77777777" w:rsidR="00751402" w:rsidRDefault="00751402" w:rsidP="00E05949">
      <w:pPr>
        <w:spacing w:after="0" w:line="360" w:lineRule="auto"/>
        <w:ind w:firstLine="284"/>
        <w:jc w:val="both"/>
        <w:rPr>
          <w:rFonts w:ascii="Times New Roman" w:hAnsi="Times New Roman" w:cs="Times New Roman"/>
          <w:sz w:val="28"/>
          <w:szCs w:val="28"/>
        </w:rPr>
      </w:pPr>
      <w:r w:rsidRPr="00751402">
        <w:rPr>
          <w:rFonts w:ascii="Times New Roman" w:hAnsi="Times New Roman" w:cs="Times New Roman"/>
          <w:sz w:val="28"/>
          <w:szCs w:val="28"/>
        </w:rPr>
        <w:t xml:space="preserve">Ухвала Апеляційної палати Вищого антикорупційного суду від 2 квітня 2026 року у справі № 991/6812/24 ілюструє фабулу кримінального провадження, у межах якого предметом попередньої судової оцінки були твердження про </w:t>
      </w:r>
      <w:r w:rsidRPr="00751402">
        <w:rPr>
          <w:rFonts w:ascii="Times New Roman" w:hAnsi="Times New Roman" w:cs="Times New Roman"/>
          <w:sz w:val="28"/>
          <w:szCs w:val="28"/>
        </w:rPr>
        <w:lastRenderedPageBreak/>
        <w:t>обіцянку сприяння у вирішенні питання через вплив на посадових осіб та одержання коштів за таке сприяння [15]. Звернення до цього рішення не означає встановлення винуватості особи, оскільки відповідні обставини оцінювалися на стадії, що не передбачає остаточного вирішення кримінального обвинувачення</w:t>
      </w:r>
      <w:r w:rsidR="00E85680" w:rsidRPr="00E05949">
        <w:rPr>
          <w:rFonts w:ascii="Times New Roman" w:hAnsi="Times New Roman" w:cs="Times New Roman"/>
          <w:sz w:val="28"/>
          <w:szCs w:val="28"/>
        </w:rPr>
        <w:t>.</w:t>
      </w:r>
    </w:p>
    <w:p w14:paraId="6E6BDFB7"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Подібну правову модель відображено у вироку Вищого антикорупційного суду від 14 травня 2026 року у справі № 991/442/24, у якій встановлені обставини стосувалися використання статусу, зв’язків і доступу до посадових осіб місцевого самоврядування для одержання неправомірної вигоди [16].</w:t>
      </w:r>
    </w:p>
    <w:p w14:paraId="3B726A10"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Значення цих судових рішень для інституту лобіювання полягає в тому, що вони дозволяють провести матеріальну межу між прозорим представленням інтересів і протиправним використанням персонального доступу до влади. </w:t>
      </w:r>
      <w:r w:rsidR="00577A1F">
        <w:rPr>
          <w:rFonts w:ascii="Times New Roman" w:hAnsi="Times New Roman" w:cs="Times New Roman"/>
          <w:sz w:val="28"/>
          <w:szCs w:val="28"/>
        </w:rPr>
        <w:t>Правомірне</w:t>
      </w:r>
      <w:r w:rsidRPr="00E05949">
        <w:rPr>
          <w:rFonts w:ascii="Times New Roman" w:hAnsi="Times New Roman" w:cs="Times New Roman"/>
          <w:sz w:val="28"/>
          <w:szCs w:val="28"/>
        </w:rPr>
        <w:t xml:space="preserve"> лобіювання передбачає відкритість, реєстрацію, звітність, визначений предмет впливу та публічну підзвітність. Неправомірний вплив, навпаки, ґрунтується на приватній вигоді, неформальному доступі, обіцянці схилити уповноважену особу до потрібного рішення або використанні службового чи соціального становища поза межами відкритої процедури.</w:t>
      </w:r>
    </w:p>
    <w:p w14:paraId="2F5BC7F2"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Оскільки предметом лобіювання є нормативно-правовий акт, межі використання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у цьому правовому інституті мають визначатися з урахуванням його ролі у правотворчості. У дослідженнях використання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в законотворчій діяльності обґрунтовано, що такі системи можуть застосовуватися для аналізу узгодженості законодавчих пропозицій, виявлення прогалин, співвіднесення текстів із актами Європейського Союзу чи судовою практикою, а також для підготовки попередніх аналітичних матеріалів [11]. Водночас вони не можуть замінити суб’єкта правотворчо</w:t>
      </w:r>
      <w:r w:rsidR="009B1D26">
        <w:rPr>
          <w:rFonts w:ascii="Times New Roman" w:hAnsi="Times New Roman" w:cs="Times New Roman"/>
          <w:sz w:val="28"/>
          <w:szCs w:val="28"/>
        </w:rPr>
        <w:t>ї</w:t>
      </w:r>
      <w:r w:rsidRPr="00E05949">
        <w:rPr>
          <w:rFonts w:ascii="Times New Roman" w:hAnsi="Times New Roman" w:cs="Times New Roman"/>
          <w:sz w:val="28"/>
          <w:szCs w:val="28"/>
        </w:rPr>
        <w:t xml:space="preserve"> </w:t>
      </w:r>
      <w:r w:rsidR="009B1D26">
        <w:rPr>
          <w:rFonts w:ascii="Times New Roman" w:hAnsi="Times New Roman" w:cs="Times New Roman"/>
          <w:sz w:val="28"/>
          <w:szCs w:val="28"/>
        </w:rPr>
        <w:t>діяльності</w:t>
      </w:r>
      <w:r w:rsidRPr="00E05949">
        <w:rPr>
          <w:rFonts w:ascii="Times New Roman" w:hAnsi="Times New Roman" w:cs="Times New Roman"/>
          <w:sz w:val="28"/>
          <w:szCs w:val="28"/>
        </w:rPr>
        <w:t>.</w:t>
      </w:r>
    </w:p>
    <w:p w14:paraId="6F126A79"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Цей висновок повністю застосовний і до сфери лобіювання. </w:t>
      </w:r>
      <w:r w:rsidR="007A1EF0" w:rsidRPr="007A1EF0">
        <w:rPr>
          <w:rFonts w:ascii="Times New Roman" w:hAnsi="Times New Roman" w:cs="Times New Roman"/>
          <w:sz w:val="28"/>
          <w:szCs w:val="28"/>
        </w:rPr>
        <w:t>В юридичній оцінці лобістської діяльності ШІ може підтримувати аналіз фактичних даних, але не повинен автономно визначати наявність юридичних ознак лобіювання чи порушення вимог закону</w:t>
      </w:r>
      <w:r w:rsidRPr="00E05949">
        <w:rPr>
          <w:rFonts w:ascii="Times New Roman" w:hAnsi="Times New Roman" w:cs="Times New Roman"/>
          <w:sz w:val="28"/>
          <w:szCs w:val="28"/>
        </w:rPr>
        <w:t xml:space="preserve">. Визначення того, чи мала місце лобістська діяльність, чи існував комерційний інтерес, чи не вийшла поведінка особи за межі правомірного впливу, потребує правового тлумачення, оцінки контексту, </w:t>
      </w:r>
      <w:r w:rsidRPr="00E05949">
        <w:rPr>
          <w:rFonts w:ascii="Times New Roman" w:hAnsi="Times New Roman" w:cs="Times New Roman"/>
          <w:sz w:val="28"/>
          <w:szCs w:val="28"/>
        </w:rPr>
        <w:lastRenderedPageBreak/>
        <w:t>мотивів, змісту комунікації та можливих наслідків. Такі питання не можуть бути остаточно вирішені лише за допомогою алгоритмічної класифікації.</w:t>
      </w:r>
    </w:p>
    <w:p w14:paraId="308BA2D0" w14:textId="77777777" w:rsidR="00E85680" w:rsidRPr="00E05949" w:rsidRDefault="007B3942" w:rsidP="00E05949">
      <w:pPr>
        <w:spacing w:after="0" w:line="360" w:lineRule="auto"/>
        <w:ind w:firstLine="284"/>
        <w:jc w:val="both"/>
        <w:rPr>
          <w:rFonts w:ascii="Times New Roman" w:hAnsi="Times New Roman" w:cs="Times New Roman"/>
          <w:sz w:val="28"/>
          <w:szCs w:val="28"/>
        </w:rPr>
      </w:pPr>
      <w:r w:rsidRPr="007B3942">
        <w:rPr>
          <w:rFonts w:ascii="Times New Roman" w:hAnsi="Times New Roman" w:cs="Times New Roman"/>
          <w:sz w:val="28"/>
          <w:szCs w:val="28"/>
        </w:rPr>
        <w:t>Конституційно-правова оцінка алгоритмізації моніторингу лобістської діяльності має враховувати ризик-орієнтовану логіку Регламенту (ЄС) 2024/1689 – Акта ЄС про штучний інтелект, який встановлює підвищені вимоги до високоризикових систем ШІ, зокрема щодо управління ризиками, якості даних, технічної документації, прозорості, людського нагляду, точності, стійкості та кібербезпеки [22]. Це не означає автоматичного віднесення кожного інструменту аналізу лобіювання до високоризикових систем у формальному сенсі, однак така ризик-орієнтована логіка має методологічне значення: що істотнішим є вплив алгоритмічного висновку на права, статус, репутацію або можливість особи брати участь у правотворчому процесі, то вищими мають бути вимоги до прозорості, перевірюваності та людського нагляду [20]. У публічно-правовій сфері неприпустимим є використання моделей із непрозорою логікою функціонування (так званих моделей «чорної скриньки»), якщо їх результат має юридичне або фактичне значення для особи, але не може бути належно пояснений адміністративним органом і перевірений судом</w:t>
      </w:r>
      <w:r w:rsidR="00E85680" w:rsidRPr="00E05949">
        <w:rPr>
          <w:rFonts w:ascii="Times New Roman" w:hAnsi="Times New Roman" w:cs="Times New Roman"/>
          <w:sz w:val="28"/>
          <w:szCs w:val="28"/>
        </w:rPr>
        <w:t>.</w:t>
      </w:r>
    </w:p>
    <w:p w14:paraId="77F1CCF7" w14:textId="77777777" w:rsidR="00E85680" w:rsidRPr="00E05949" w:rsidRDefault="00D87721"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Аналогічний підхід </w:t>
      </w:r>
      <w:r w:rsidR="00E85680" w:rsidRPr="00E05949">
        <w:rPr>
          <w:rFonts w:ascii="Times New Roman" w:hAnsi="Times New Roman" w:cs="Times New Roman"/>
          <w:sz w:val="28"/>
          <w:szCs w:val="28"/>
        </w:rPr>
        <w:t xml:space="preserve">простежується і в документах CEPEJ щодо використання </w:t>
      </w:r>
      <w:r w:rsidR="001E6B12">
        <w:rPr>
          <w:rFonts w:ascii="Times New Roman" w:hAnsi="Times New Roman" w:cs="Times New Roman"/>
          <w:sz w:val="28"/>
          <w:szCs w:val="28"/>
        </w:rPr>
        <w:t>ШІ</w:t>
      </w:r>
      <w:r w:rsidR="00E85680" w:rsidRPr="00E05949">
        <w:rPr>
          <w:rFonts w:ascii="Times New Roman" w:hAnsi="Times New Roman" w:cs="Times New Roman"/>
          <w:sz w:val="28"/>
          <w:szCs w:val="28"/>
        </w:rPr>
        <w:t xml:space="preserve"> в судових системах. Хоча ці документи безпосередньо стосуються правосуддя, їх вимоги щодо правової визначеності, незалежності, ефективного людського </w:t>
      </w:r>
      <w:r w:rsidR="008468D0">
        <w:rPr>
          <w:rFonts w:ascii="Times New Roman" w:hAnsi="Times New Roman" w:cs="Times New Roman"/>
          <w:sz w:val="28"/>
          <w:szCs w:val="28"/>
        </w:rPr>
        <w:t>нагляду</w:t>
      </w:r>
      <w:r w:rsidR="00E85680" w:rsidRPr="00E05949">
        <w:rPr>
          <w:rFonts w:ascii="Times New Roman" w:hAnsi="Times New Roman" w:cs="Times New Roman"/>
          <w:sz w:val="28"/>
          <w:szCs w:val="28"/>
        </w:rPr>
        <w:t xml:space="preserve">, прозорості та простежуваності мають значення для ширшої публічно-правової оцінки алгоритмічних систем [23]. Якщо такі гарантії є необхідними для судового середовища, то вони тим більше мають враховуватися у процедурах адміністративного контролю, що можуть впливати на правовий статус особи, її репутацію або можливість здійснювати </w:t>
      </w:r>
      <w:r w:rsidR="00577A1F">
        <w:rPr>
          <w:rFonts w:ascii="Times New Roman" w:hAnsi="Times New Roman" w:cs="Times New Roman"/>
          <w:sz w:val="28"/>
          <w:szCs w:val="28"/>
        </w:rPr>
        <w:t>правомір</w:t>
      </w:r>
      <w:r w:rsidR="00E85680" w:rsidRPr="00E05949">
        <w:rPr>
          <w:rFonts w:ascii="Times New Roman" w:hAnsi="Times New Roman" w:cs="Times New Roman"/>
          <w:sz w:val="28"/>
          <w:szCs w:val="28"/>
        </w:rPr>
        <w:t>не представлення інтересів.</w:t>
      </w:r>
    </w:p>
    <w:p w14:paraId="125123E8" w14:textId="77777777" w:rsidR="00C116BB" w:rsidRPr="00E05949" w:rsidRDefault="00C116BB"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В основі конституційно прийнятної моделі використання </w:t>
      </w:r>
      <w:r w:rsidR="001E6B12">
        <w:rPr>
          <w:rFonts w:ascii="Times New Roman" w:hAnsi="Times New Roman" w:cs="Times New Roman"/>
          <w:sz w:val="28"/>
          <w:szCs w:val="28"/>
        </w:rPr>
        <w:t>ШІ</w:t>
      </w:r>
      <w:r w:rsidRPr="00E05949">
        <w:rPr>
          <w:rFonts w:ascii="Times New Roman" w:hAnsi="Times New Roman" w:cs="Times New Roman"/>
          <w:sz w:val="28"/>
          <w:szCs w:val="28"/>
        </w:rPr>
        <w:t xml:space="preserve"> у сфері лобіювання має бути принцип </w:t>
      </w:r>
      <w:r w:rsidR="00DD6F81" w:rsidRPr="00DD6F81">
        <w:rPr>
          <w:rFonts w:ascii="Times New Roman" w:hAnsi="Times New Roman" w:cs="Times New Roman"/>
          <w:sz w:val="28"/>
          <w:szCs w:val="28"/>
        </w:rPr>
        <w:t>ефективного людського нагляду</w:t>
      </w:r>
      <w:r w:rsidRPr="00E05949">
        <w:rPr>
          <w:rFonts w:ascii="Times New Roman" w:hAnsi="Times New Roman" w:cs="Times New Roman"/>
          <w:sz w:val="28"/>
          <w:szCs w:val="28"/>
        </w:rPr>
        <w:t xml:space="preserve">. У цій сфері алгоритмічні інструменти можуть здійснювати описову аналітику даних Реєстру прозорості, відкритих джерел і звітності, а також </w:t>
      </w:r>
      <w:r w:rsidR="00507439" w:rsidRPr="00507439">
        <w:rPr>
          <w:rFonts w:ascii="Times New Roman" w:hAnsi="Times New Roman" w:cs="Times New Roman"/>
          <w:sz w:val="28"/>
          <w:szCs w:val="28"/>
        </w:rPr>
        <w:t>виявляти закономірності, що можуть свідчити про підвищений ризик порушення</w:t>
      </w:r>
      <w:r w:rsidRPr="00E05949">
        <w:rPr>
          <w:rFonts w:ascii="Times New Roman" w:hAnsi="Times New Roman" w:cs="Times New Roman"/>
          <w:sz w:val="28"/>
          <w:szCs w:val="28"/>
        </w:rPr>
        <w:t xml:space="preserve">. Натомість правова </w:t>
      </w:r>
      <w:r w:rsidRPr="00E05949">
        <w:rPr>
          <w:rFonts w:ascii="Times New Roman" w:hAnsi="Times New Roman" w:cs="Times New Roman"/>
          <w:sz w:val="28"/>
          <w:szCs w:val="28"/>
        </w:rPr>
        <w:lastRenderedPageBreak/>
        <w:t>кваліфікація поведінки особи як лобіювання, порушення вимог закону або неправомірного впливу має залишатися виключно результатом мотивованої оцінки компетентного суб’єкта владних повноважень.</w:t>
      </w:r>
    </w:p>
    <w:p w14:paraId="4DDB3EA4" w14:textId="77777777" w:rsidR="00E85680" w:rsidRPr="00E05949" w:rsidRDefault="00A170DF" w:rsidP="00E05949">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Зміст принципу</w:t>
      </w:r>
      <w:r w:rsidRPr="00A170DF">
        <w:rPr>
          <w:rFonts w:ascii="Times New Roman" w:hAnsi="Times New Roman" w:cs="Times New Roman"/>
          <w:sz w:val="28"/>
          <w:szCs w:val="28"/>
        </w:rPr>
        <w:t xml:space="preserve"> </w:t>
      </w:r>
      <w:r w:rsidR="00DD6F81" w:rsidRPr="00DD6F81">
        <w:rPr>
          <w:rFonts w:ascii="Times New Roman" w:hAnsi="Times New Roman" w:cs="Times New Roman"/>
          <w:sz w:val="28"/>
          <w:szCs w:val="28"/>
        </w:rPr>
        <w:t>ефективного людського нагляду</w:t>
      </w:r>
      <w:r w:rsidR="00DD6F81">
        <w:rPr>
          <w:rFonts w:ascii="Times New Roman" w:hAnsi="Times New Roman" w:cs="Times New Roman"/>
          <w:sz w:val="28"/>
          <w:szCs w:val="28"/>
        </w:rPr>
        <w:t xml:space="preserve"> </w:t>
      </w:r>
      <w:r w:rsidR="00E85680" w:rsidRPr="00E05949">
        <w:rPr>
          <w:rFonts w:ascii="Times New Roman" w:hAnsi="Times New Roman" w:cs="Times New Roman"/>
          <w:sz w:val="28"/>
          <w:szCs w:val="28"/>
        </w:rPr>
        <w:t xml:space="preserve">не вичерпується формальною присутністю посадової особи у процедурі. Він передбачає реальну здатність людини зрозуміти алгоритмічний результат, критично оцінити його, відхилити його за наявності сумнівів, доповнити іншими доказами, надати особі можливість бути заслуханою і сформулювати самостійне мотивоване рішення. Якщо посадова особа лише механічно відтворює результат алгоритму, людський </w:t>
      </w:r>
      <w:r w:rsidR="00577A1F">
        <w:rPr>
          <w:rFonts w:ascii="Times New Roman" w:hAnsi="Times New Roman" w:cs="Times New Roman"/>
          <w:sz w:val="28"/>
          <w:szCs w:val="28"/>
        </w:rPr>
        <w:t>нагляд</w:t>
      </w:r>
      <w:r w:rsidR="00E85680" w:rsidRPr="00E05949">
        <w:rPr>
          <w:rFonts w:ascii="Times New Roman" w:hAnsi="Times New Roman" w:cs="Times New Roman"/>
          <w:sz w:val="28"/>
          <w:szCs w:val="28"/>
        </w:rPr>
        <w:t xml:space="preserve"> стає номінальним і не виконує конституційної функції.</w:t>
      </w:r>
    </w:p>
    <w:p w14:paraId="6EFEFEBB" w14:textId="77777777" w:rsidR="00E85680" w:rsidRPr="00E05949" w:rsidRDefault="006669B1"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У цій моделі доцільно розрізняти три рівні алгоритмічної участі: описовий, коли система структурує дані Реєстру прозорості або візуалізує </w:t>
      </w:r>
      <w:r w:rsidR="008468D0">
        <w:rPr>
          <w:rFonts w:ascii="Times New Roman" w:hAnsi="Times New Roman" w:cs="Times New Roman"/>
          <w:sz w:val="28"/>
          <w:szCs w:val="28"/>
        </w:rPr>
        <w:t>законодавчий</w:t>
      </w:r>
      <w:r w:rsidRPr="00E05949">
        <w:rPr>
          <w:rFonts w:ascii="Times New Roman" w:hAnsi="Times New Roman" w:cs="Times New Roman"/>
          <w:sz w:val="28"/>
          <w:szCs w:val="28"/>
        </w:rPr>
        <w:t xml:space="preserve"> слід; прогностичний, коли вона виявляє ризикові закономірності; і нормативно-оціночний, коли фактично пропонується правова кваліфікація поведінки. </w:t>
      </w:r>
      <w:r w:rsidR="00751402" w:rsidRPr="00751402">
        <w:rPr>
          <w:rFonts w:ascii="Times New Roman" w:hAnsi="Times New Roman" w:cs="Times New Roman"/>
          <w:sz w:val="28"/>
          <w:szCs w:val="28"/>
        </w:rPr>
        <w:t>У сфері лобіювання самостійне значення можуть мати описовий і, за належних гарантій, прогностичний рівні. Результат нормативно-оціночного аналізу може використовуватися лише як попередня аналітична гіпотеза, яка не має самостійного доказового чи правового значення. Остаточна кваліфікація дій особи як лобіювання, порушення вимог закону або неправомірного впливу має залишатися результатом мотивованого людського правозастосування</w:t>
      </w:r>
      <w:r w:rsidRPr="00E05949">
        <w:rPr>
          <w:rFonts w:ascii="Times New Roman" w:hAnsi="Times New Roman" w:cs="Times New Roman"/>
          <w:sz w:val="28"/>
          <w:szCs w:val="28"/>
        </w:rPr>
        <w:t xml:space="preserve"> [2</w:t>
      </w:r>
      <w:r w:rsidR="009036B9" w:rsidRPr="00E05949">
        <w:rPr>
          <w:rFonts w:ascii="Times New Roman" w:hAnsi="Times New Roman" w:cs="Times New Roman"/>
          <w:sz w:val="28"/>
          <w:szCs w:val="28"/>
        </w:rPr>
        <w:t xml:space="preserve">2; </w:t>
      </w:r>
      <w:r w:rsidRPr="00E05949">
        <w:rPr>
          <w:rFonts w:ascii="Times New Roman" w:hAnsi="Times New Roman" w:cs="Times New Roman"/>
          <w:sz w:val="28"/>
          <w:szCs w:val="28"/>
        </w:rPr>
        <w:t>23].</w:t>
      </w:r>
    </w:p>
    <w:p w14:paraId="477F2E04" w14:textId="77777777" w:rsidR="00E85680" w:rsidRPr="00E05949" w:rsidRDefault="00E85680" w:rsidP="00E05949">
      <w:pPr>
        <w:spacing w:after="0" w:line="360" w:lineRule="auto"/>
        <w:ind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Отже, </w:t>
      </w:r>
      <w:r w:rsidR="00423D2D" w:rsidRPr="00E05949">
        <w:rPr>
          <w:rFonts w:ascii="Times New Roman" w:hAnsi="Times New Roman" w:cs="Times New Roman"/>
          <w:sz w:val="28"/>
          <w:szCs w:val="28"/>
        </w:rPr>
        <w:t>ШІ</w:t>
      </w:r>
      <w:r w:rsidRPr="00E05949">
        <w:rPr>
          <w:rFonts w:ascii="Times New Roman" w:hAnsi="Times New Roman" w:cs="Times New Roman"/>
          <w:sz w:val="28"/>
          <w:szCs w:val="28"/>
        </w:rPr>
        <w:t xml:space="preserve"> у сфері лобіювання може бути конституційно прийнятним лише за умови, що він не підміняє людину у здійсненні правової оцінки, не приховує критеріїв контролю, не створює непропорційного втручання у політичні права та не використовується для непрозорого впливу на правотворчість. Його основне призначення має полягати у </w:t>
      </w:r>
      <w:r w:rsidR="003078A6" w:rsidRPr="003078A6">
        <w:rPr>
          <w:rFonts w:ascii="Times New Roman" w:hAnsi="Times New Roman" w:cs="Times New Roman"/>
          <w:sz w:val="28"/>
          <w:szCs w:val="28"/>
        </w:rPr>
        <w:t>посиленні прозорості, підзвітності та обґрунтованості контрольної діяльності, а не в автоматизації адміністративної дискреції</w:t>
      </w:r>
      <w:r w:rsidRPr="00E05949">
        <w:rPr>
          <w:rFonts w:ascii="Times New Roman" w:hAnsi="Times New Roman" w:cs="Times New Roman"/>
          <w:sz w:val="28"/>
          <w:szCs w:val="28"/>
        </w:rPr>
        <w:t>.</w:t>
      </w:r>
    </w:p>
    <w:p w14:paraId="75152073" w14:textId="77777777" w:rsidR="00E85680" w:rsidRPr="00E05949" w:rsidRDefault="00E85680" w:rsidP="00E05949">
      <w:pPr>
        <w:spacing w:after="0" w:line="360" w:lineRule="auto"/>
        <w:ind w:firstLine="284"/>
        <w:jc w:val="both"/>
        <w:rPr>
          <w:rFonts w:ascii="Times New Roman" w:hAnsi="Times New Roman" w:cs="Times New Roman"/>
          <w:sz w:val="28"/>
          <w:szCs w:val="28"/>
        </w:rPr>
      </w:pPr>
    </w:p>
    <w:p w14:paraId="468AC32E" w14:textId="77777777" w:rsidR="00423D2D" w:rsidRPr="00E05949" w:rsidRDefault="00423D2D" w:rsidP="00E05949">
      <w:pPr>
        <w:spacing w:after="0" w:line="360" w:lineRule="auto"/>
        <w:ind w:firstLine="284"/>
        <w:jc w:val="both"/>
        <w:rPr>
          <w:rFonts w:ascii="Times New Roman" w:hAnsi="Times New Roman" w:cs="Times New Roman"/>
          <w:b/>
          <w:sz w:val="28"/>
          <w:szCs w:val="28"/>
        </w:rPr>
      </w:pPr>
      <w:r w:rsidRPr="00E05949">
        <w:rPr>
          <w:rFonts w:ascii="Times New Roman" w:hAnsi="Times New Roman" w:cs="Times New Roman"/>
          <w:b/>
          <w:sz w:val="28"/>
          <w:szCs w:val="28"/>
        </w:rPr>
        <w:t>Висновки.</w:t>
      </w:r>
    </w:p>
    <w:p w14:paraId="546E88A9" w14:textId="77777777" w:rsidR="007B3942" w:rsidRDefault="001C7B0D" w:rsidP="007B3942">
      <w:pPr>
        <w:pStyle w:val="a3"/>
        <w:numPr>
          <w:ilvl w:val="0"/>
          <w:numId w:val="6"/>
        </w:numPr>
        <w:spacing w:after="0" w:line="360" w:lineRule="auto"/>
        <w:ind w:left="0" w:firstLine="644"/>
        <w:jc w:val="both"/>
        <w:rPr>
          <w:rFonts w:ascii="Times New Roman" w:hAnsi="Times New Roman" w:cs="Times New Roman"/>
          <w:sz w:val="28"/>
          <w:szCs w:val="28"/>
        </w:rPr>
      </w:pPr>
      <w:r w:rsidRPr="001C7B0D">
        <w:rPr>
          <w:rFonts w:ascii="Times New Roman" w:hAnsi="Times New Roman" w:cs="Times New Roman"/>
          <w:sz w:val="28"/>
          <w:szCs w:val="28"/>
        </w:rPr>
        <w:t xml:space="preserve">Закон України «Про лобіювання» інституціоналізував лобіювання як спеціальну правову форму представлення комерційних інтересів у </w:t>
      </w:r>
      <w:r w:rsidRPr="001C7B0D">
        <w:rPr>
          <w:rFonts w:ascii="Times New Roman" w:hAnsi="Times New Roman" w:cs="Times New Roman"/>
          <w:sz w:val="28"/>
          <w:szCs w:val="28"/>
        </w:rPr>
        <w:lastRenderedPageBreak/>
        <w:t>правотворчому процес</w:t>
      </w:r>
      <w:r>
        <w:rPr>
          <w:rFonts w:ascii="Times New Roman" w:hAnsi="Times New Roman" w:cs="Times New Roman"/>
          <w:sz w:val="28"/>
          <w:szCs w:val="28"/>
        </w:rPr>
        <w:t>і</w:t>
      </w:r>
      <w:r w:rsidR="00423D2D" w:rsidRPr="00E05949">
        <w:rPr>
          <w:rFonts w:ascii="Times New Roman" w:hAnsi="Times New Roman" w:cs="Times New Roman"/>
          <w:sz w:val="28"/>
          <w:szCs w:val="28"/>
        </w:rPr>
        <w:t>. Конституційний зміст цього інституту полягає не в легалізації будь-якого впливу на публічну владу, а у встановленні відкритих, передбачуваних і підзвітних правил впливу на планування, розроблення, прийняття, зміну</w:t>
      </w:r>
      <w:r w:rsidR="00577A1F">
        <w:rPr>
          <w:rFonts w:ascii="Times New Roman" w:hAnsi="Times New Roman" w:cs="Times New Roman"/>
          <w:sz w:val="28"/>
          <w:szCs w:val="28"/>
        </w:rPr>
        <w:t xml:space="preserve"> чи</w:t>
      </w:r>
      <w:r w:rsidR="00423D2D" w:rsidRPr="00E05949">
        <w:rPr>
          <w:rFonts w:ascii="Times New Roman" w:hAnsi="Times New Roman" w:cs="Times New Roman"/>
          <w:sz w:val="28"/>
          <w:szCs w:val="28"/>
        </w:rPr>
        <w:t xml:space="preserve"> </w:t>
      </w:r>
      <w:r w:rsidR="00507439" w:rsidRPr="00507439">
        <w:rPr>
          <w:rFonts w:ascii="Times New Roman" w:hAnsi="Times New Roman" w:cs="Times New Roman"/>
          <w:sz w:val="28"/>
          <w:szCs w:val="28"/>
        </w:rPr>
        <w:t>скасування нормативно-правових актів або утримання від таких дій</w:t>
      </w:r>
      <w:r w:rsidR="00423D2D" w:rsidRPr="00E05949">
        <w:rPr>
          <w:rFonts w:ascii="Times New Roman" w:hAnsi="Times New Roman" w:cs="Times New Roman"/>
          <w:sz w:val="28"/>
          <w:szCs w:val="28"/>
        </w:rPr>
        <w:t xml:space="preserve">. </w:t>
      </w:r>
    </w:p>
    <w:p w14:paraId="2F7DAA24" w14:textId="77777777" w:rsidR="001C7B0D" w:rsidRPr="007B3942" w:rsidRDefault="00DD6F81" w:rsidP="007B3942">
      <w:pPr>
        <w:pStyle w:val="a3"/>
        <w:numPr>
          <w:ilvl w:val="0"/>
          <w:numId w:val="6"/>
        </w:numPr>
        <w:spacing w:after="0" w:line="360" w:lineRule="auto"/>
        <w:ind w:left="0" w:firstLine="644"/>
        <w:jc w:val="both"/>
        <w:rPr>
          <w:rFonts w:ascii="Times New Roman" w:hAnsi="Times New Roman" w:cs="Times New Roman"/>
          <w:sz w:val="28"/>
          <w:szCs w:val="28"/>
        </w:rPr>
      </w:pPr>
      <w:r w:rsidRPr="007B3942">
        <w:rPr>
          <w:rFonts w:ascii="Times New Roman" w:hAnsi="Times New Roman" w:cs="Times New Roman"/>
          <w:sz w:val="28"/>
          <w:szCs w:val="28"/>
        </w:rPr>
        <w:t>Використання систем ШІ у сфері лобіювання допустиме лише за умови дотримання верховенства права, юридичної визначеності, пропорційності, захисту персональних даних, відкритості публічної інформації, гарантій належної адміністративної процедури та ефективного судового захисту. Такі системи можуть виконувати лише допоміжну, пояснювану та процедурно контрольовану функцію. Результат алгоритмічного аналізу не може самостійно вважатися достатнім доказом порушення або безпосередньою підставою для юридично значущого рішення; його має критично перевірити адміністративний орган із забезпеченням ефективного людського нагляду та права особи на адміністративне і судове оскарження</w:t>
      </w:r>
      <w:r w:rsidR="00423D2D" w:rsidRPr="007B3942">
        <w:rPr>
          <w:rFonts w:ascii="Times New Roman" w:hAnsi="Times New Roman" w:cs="Times New Roman"/>
          <w:sz w:val="28"/>
          <w:szCs w:val="28"/>
        </w:rPr>
        <w:t xml:space="preserve">. </w:t>
      </w:r>
      <w:r w:rsidR="007B3942" w:rsidRPr="007B3942">
        <w:rPr>
          <w:rFonts w:ascii="Times New Roman" w:hAnsi="Times New Roman" w:cs="Times New Roman"/>
          <w:sz w:val="28"/>
          <w:szCs w:val="28"/>
        </w:rPr>
        <w:t>Юридично значуща правова оцінка має здійснюватися уповноваженим законом суб’єктом, а алгоритмічний висновок не може підміняти рішення НАЗК або суду, прийняте відповідно до їхньої компетенції.</w:t>
      </w:r>
    </w:p>
    <w:p w14:paraId="02F4EC64" w14:textId="77777777" w:rsidR="008468D0" w:rsidRDefault="001C7B0D" w:rsidP="008468D0">
      <w:pPr>
        <w:pStyle w:val="a3"/>
        <w:numPr>
          <w:ilvl w:val="0"/>
          <w:numId w:val="6"/>
        </w:numPr>
        <w:spacing w:after="0" w:line="360" w:lineRule="auto"/>
        <w:ind w:left="0" w:firstLine="142"/>
        <w:jc w:val="both"/>
        <w:rPr>
          <w:rFonts w:ascii="Times New Roman" w:hAnsi="Times New Roman" w:cs="Times New Roman"/>
          <w:sz w:val="28"/>
          <w:szCs w:val="28"/>
        </w:rPr>
      </w:pPr>
      <w:r w:rsidRPr="001C7B0D">
        <w:rPr>
          <w:rFonts w:ascii="Times New Roman" w:hAnsi="Times New Roman" w:cs="Times New Roman"/>
          <w:sz w:val="28"/>
          <w:szCs w:val="28"/>
        </w:rPr>
        <w:t>Оціночність понять «вплив», «спроба впливу» та «комерційний інтерес» становить істотний конституційно-правовий ризик для цифровізації цього правового інституту. Якщо такі категорії використовуються в алгоритмічних моделях без достатньо визначених правових критеріїв, ризик надмірного або свавільного тлумачення не усувається, а набуває форми системного відтворення необґрунтованих правових кваліфікацій</w:t>
      </w:r>
      <w:r w:rsidR="00423D2D" w:rsidRPr="001C7B0D">
        <w:rPr>
          <w:rFonts w:ascii="Times New Roman" w:hAnsi="Times New Roman" w:cs="Times New Roman"/>
          <w:sz w:val="28"/>
          <w:szCs w:val="28"/>
        </w:rPr>
        <w:t xml:space="preserve">. </w:t>
      </w:r>
    </w:p>
    <w:p w14:paraId="091D6C7B" w14:textId="77777777" w:rsidR="001C7B0D" w:rsidRPr="008468D0" w:rsidRDefault="00423D2D" w:rsidP="008468D0">
      <w:pPr>
        <w:pStyle w:val="a3"/>
        <w:numPr>
          <w:ilvl w:val="0"/>
          <w:numId w:val="6"/>
        </w:numPr>
        <w:spacing w:after="0" w:line="360" w:lineRule="auto"/>
        <w:ind w:left="0" w:firstLine="142"/>
        <w:jc w:val="both"/>
        <w:rPr>
          <w:rFonts w:ascii="Times New Roman" w:hAnsi="Times New Roman" w:cs="Times New Roman"/>
          <w:sz w:val="28"/>
          <w:szCs w:val="28"/>
        </w:rPr>
      </w:pPr>
      <w:r w:rsidRPr="008468D0">
        <w:rPr>
          <w:rFonts w:ascii="Times New Roman" w:hAnsi="Times New Roman" w:cs="Times New Roman"/>
          <w:sz w:val="28"/>
          <w:szCs w:val="28"/>
        </w:rPr>
        <w:t xml:space="preserve">Реєстр прозорості має розглядатися як механізм публічної підзвітності лобістської діяльності, а не лише як адміністративна база даних. Перспективним напрямом його розвитку є формування </w:t>
      </w:r>
      <w:r w:rsidR="008468D0" w:rsidRPr="008468D0">
        <w:rPr>
          <w:rFonts w:ascii="Times New Roman" w:hAnsi="Times New Roman" w:cs="Times New Roman"/>
          <w:sz w:val="28"/>
          <w:szCs w:val="28"/>
        </w:rPr>
        <w:t>законодавчого</w:t>
      </w:r>
      <w:r w:rsidRPr="008468D0">
        <w:rPr>
          <w:rFonts w:ascii="Times New Roman" w:hAnsi="Times New Roman" w:cs="Times New Roman"/>
          <w:sz w:val="28"/>
          <w:szCs w:val="28"/>
        </w:rPr>
        <w:t xml:space="preserve"> сліду (</w:t>
      </w:r>
      <w:r w:rsidR="008468D0" w:rsidRPr="008468D0">
        <w:rPr>
          <w:rFonts w:ascii="Times New Roman" w:hAnsi="Times New Roman" w:cs="Times New Roman"/>
          <w:sz w:val="28"/>
          <w:szCs w:val="28"/>
        </w:rPr>
        <w:t>legislative</w:t>
      </w:r>
      <w:r w:rsidRPr="008468D0">
        <w:rPr>
          <w:rFonts w:ascii="Times New Roman" w:hAnsi="Times New Roman" w:cs="Times New Roman"/>
          <w:sz w:val="28"/>
          <w:szCs w:val="28"/>
        </w:rPr>
        <w:t xml:space="preserve"> footprint), який дозволяє простежити зв’язок між зареєстрованими лобістськими комунікаціями, поданими пропозиціями та змінами у проєктах нормативно-правових актів. </w:t>
      </w:r>
      <w:r w:rsidR="00577A1F" w:rsidRPr="008468D0">
        <w:rPr>
          <w:rFonts w:ascii="Times New Roman" w:hAnsi="Times New Roman" w:cs="Times New Roman"/>
          <w:sz w:val="28"/>
          <w:szCs w:val="28"/>
        </w:rPr>
        <w:t xml:space="preserve">Обробка реєстрових даних має відповідати принципам цільового </w:t>
      </w:r>
      <w:r w:rsidR="00577A1F" w:rsidRPr="008468D0">
        <w:rPr>
          <w:rFonts w:ascii="Times New Roman" w:hAnsi="Times New Roman" w:cs="Times New Roman"/>
          <w:sz w:val="28"/>
          <w:szCs w:val="28"/>
        </w:rPr>
        <w:lastRenderedPageBreak/>
        <w:t>обмеження, пропорційності та мінімізації даних і не повинна виходити за межі мети публічної підзвітності лобістської діяльності.</w:t>
      </w:r>
      <w:r w:rsidRPr="008468D0">
        <w:rPr>
          <w:rFonts w:ascii="Times New Roman" w:hAnsi="Times New Roman" w:cs="Times New Roman"/>
          <w:sz w:val="28"/>
          <w:szCs w:val="28"/>
        </w:rPr>
        <w:t xml:space="preserve"> </w:t>
      </w:r>
    </w:p>
    <w:p w14:paraId="48D76E59" w14:textId="77777777" w:rsidR="00577A1F" w:rsidRPr="001C7B0D" w:rsidRDefault="00577A1F" w:rsidP="001C7B0D">
      <w:pPr>
        <w:pStyle w:val="a3"/>
        <w:numPr>
          <w:ilvl w:val="0"/>
          <w:numId w:val="6"/>
        </w:numPr>
        <w:spacing w:after="0" w:line="360" w:lineRule="auto"/>
        <w:ind w:left="0" w:firstLine="142"/>
        <w:jc w:val="both"/>
        <w:rPr>
          <w:rFonts w:ascii="Times New Roman" w:hAnsi="Times New Roman" w:cs="Times New Roman"/>
          <w:sz w:val="28"/>
          <w:szCs w:val="28"/>
        </w:rPr>
      </w:pPr>
      <w:r w:rsidRPr="001C7B0D">
        <w:rPr>
          <w:rFonts w:ascii="Times New Roman" w:hAnsi="Times New Roman" w:cs="Times New Roman"/>
          <w:sz w:val="28"/>
          <w:szCs w:val="28"/>
        </w:rPr>
        <w:t>Відмежування лобіювання від Government Relations (GR), адвокації, громадської участі, експертної діяльності та звернень громадян є необхідною умовою конституційно збалансованого регулювання. GR є ширшою практикою взаємодії з органами публічної влади, тоді як лобіювання становить лише її спеціально врегульований сегмент, що характеризується визначеним законом предметом, комерційним інтересом, спеціальним суб’єктним статусом та реєстраційно-звітними обов’язками</w:t>
      </w:r>
      <w:r w:rsidR="00423D2D" w:rsidRPr="001C7B0D">
        <w:rPr>
          <w:rFonts w:ascii="Times New Roman" w:hAnsi="Times New Roman" w:cs="Times New Roman"/>
          <w:sz w:val="28"/>
          <w:szCs w:val="28"/>
        </w:rPr>
        <w:t xml:space="preserve">. Повторювана, інтенсивна або тематично спрямована комунікація з органами влади не може автоматично визнаватися лобіюванням без встановлення її предмета, комерційного інтересу, статусу суб’єкта, </w:t>
      </w:r>
      <w:r w:rsidR="00507439" w:rsidRPr="001C7B0D">
        <w:rPr>
          <w:rFonts w:ascii="Times New Roman" w:hAnsi="Times New Roman" w:cs="Times New Roman"/>
          <w:sz w:val="28"/>
          <w:szCs w:val="28"/>
        </w:rPr>
        <w:t>наявності бенефіціара, в інтересах якого здійснюється діяльність</w:t>
      </w:r>
      <w:r w:rsidRPr="001C7B0D">
        <w:rPr>
          <w:rFonts w:ascii="Times New Roman" w:hAnsi="Times New Roman" w:cs="Times New Roman"/>
          <w:sz w:val="28"/>
          <w:szCs w:val="28"/>
        </w:rPr>
        <w:t>,</w:t>
      </w:r>
      <w:r w:rsidR="00423D2D" w:rsidRPr="001C7B0D">
        <w:rPr>
          <w:rFonts w:ascii="Times New Roman" w:hAnsi="Times New Roman" w:cs="Times New Roman"/>
          <w:sz w:val="28"/>
          <w:szCs w:val="28"/>
        </w:rPr>
        <w:t xml:space="preserve"> та зв’язку з нормативно-правовим актом. </w:t>
      </w:r>
      <w:r w:rsidR="001C7B0D" w:rsidRPr="001C7B0D">
        <w:rPr>
          <w:rFonts w:ascii="Times New Roman" w:hAnsi="Times New Roman" w:cs="Times New Roman"/>
          <w:sz w:val="28"/>
          <w:szCs w:val="28"/>
        </w:rPr>
        <w:t>Надмірно широке тлумачення лобіювання не повинно призводити до покладення спеціальних реєстраційних і звітних обов’язків на осіб, які реалізують свободу вираження поглядів, право на звернення, свободу об’єднання або право на участь в управлінні державними справами.</w:t>
      </w:r>
    </w:p>
    <w:p w14:paraId="0BB117A1" w14:textId="77777777" w:rsidR="001C7B0D" w:rsidRDefault="003078A6" w:rsidP="001C7B0D">
      <w:pPr>
        <w:pStyle w:val="a3"/>
        <w:numPr>
          <w:ilvl w:val="0"/>
          <w:numId w:val="6"/>
        </w:numPr>
        <w:spacing w:after="0" w:line="360" w:lineRule="auto"/>
        <w:ind w:left="0" w:firstLine="142"/>
        <w:jc w:val="both"/>
        <w:rPr>
          <w:rFonts w:ascii="Times New Roman" w:hAnsi="Times New Roman" w:cs="Times New Roman"/>
          <w:sz w:val="28"/>
          <w:szCs w:val="28"/>
        </w:rPr>
      </w:pPr>
      <w:r w:rsidRPr="00577A1F">
        <w:rPr>
          <w:rFonts w:ascii="Times New Roman" w:hAnsi="Times New Roman" w:cs="Times New Roman"/>
          <w:sz w:val="28"/>
          <w:szCs w:val="28"/>
        </w:rPr>
        <w:t xml:space="preserve">У сфері лобіювання доцільно розрізняти три рівні алгоритмічної участі: описовий, прогностичний і нормативно-оціночний. Конституційно допустимим є описовий рівень та, за умови пояснюваності, перевірюваності й ефективного людського нагляду, прогностичний рівень. </w:t>
      </w:r>
      <w:r w:rsidR="00577A1F" w:rsidRPr="00577A1F">
        <w:rPr>
          <w:rFonts w:ascii="Times New Roman" w:hAnsi="Times New Roman" w:cs="Times New Roman"/>
          <w:sz w:val="28"/>
          <w:szCs w:val="28"/>
        </w:rPr>
        <w:t>Нормативно-оціночний рівень допустимий лише для формування попередньої аналітичної гіпотези; алгоритмічна правова кваліфікація не може мати автономного або визначального значення у публічно-правовій процедурі</w:t>
      </w:r>
      <w:r w:rsidR="00DD6F81" w:rsidRPr="00577A1F">
        <w:rPr>
          <w:rFonts w:ascii="Times New Roman" w:hAnsi="Times New Roman" w:cs="Times New Roman"/>
          <w:sz w:val="28"/>
          <w:szCs w:val="28"/>
        </w:rPr>
        <w:t>.</w:t>
      </w:r>
    </w:p>
    <w:p w14:paraId="23E434BC" w14:textId="77777777" w:rsidR="003078A6" w:rsidRPr="001C7B0D" w:rsidRDefault="003078A6" w:rsidP="001C7B0D">
      <w:pPr>
        <w:pStyle w:val="a3"/>
        <w:numPr>
          <w:ilvl w:val="0"/>
          <w:numId w:val="6"/>
        </w:numPr>
        <w:spacing w:after="0" w:line="360" w:lineRule="auto"/>
        <w:ind w:left="0" w:firstLine="142"/>
        <w:jc w:val="both"/>
        <w:rPr>
          <w:rFonts w:ascii="Times New Roman" w:hAnsi="Times New Roman" w:cs="Times New Roman"/>
          <w:sz w:val="28"/>
          <w:szCs w:val="28"/>
        </w:rPr>
      </w:pPr>
      <w:r w:rsidRPr="001C7B0D">
        <w:rPr>
          <w:rFonts w:ascii="Times New Roman" w:hAnsi="Times New Roman" w:cs="Times New Roman"/>
          <w:sz w:val="28"/>
          <w:szCs w:val="28"/>
        </w:rPr>
        <w:t xml:space="preserve">Правове регулювання має враховувати не лише використання систем ШІ адміністративним органом, а й застосування алгоритмічних інструментів суб’єктами впливу на правотворчість. Автоматизоване формування звернень, персоналізоване поширення позицій або імітація масової громадської підтримки можуть спотворювати прозорість правотворчого процесу. </w:t>
      </w:r>
      <w:r w:rsidR="001C7B0D" w:rsidRPr="001C7B0D">
        <w:rPr>
          <w:rFonts w:ascii="Times New Roman" w:hAnsi="Times New Roman" w:cs="Times New Roman"/>
          <w:sz w:val="28"/>
          <w:szCs w:val="28"/>
        </w:rPr>
        <w:t xml:space="preserve">Якщо така діяльність за метою, предметом, комерційним інтересом і суб’єктним складом відповідає визначеним законом ознакам лобіювання, використання алгоритмічних </w:t>
      </w:r>
      <w:r w:rsidR="001C7B0D" w:rsidRPr="001C7B0D">
        <w:rPr>
          <w:rFonts w:ascii="Times New Roman" w:hAnsi="Times New Roman" w:cs="Times New Roman"/>
          <w:sz w:val="28"/>
          <w:szCs w:val="28"/>
        </w:rPr>
        <w:lastRenderedPageBreak/>
        <w:t>інструментів не усуває обов’язків щодо набуття статусу суб’єкта лобіювання, розкриття передбаченої законом інформації та подання звітності. Водночас саме по собі використання автоматизованих засобів для звернень, адвокації або громадської участі не може бути підставою для їх кваліфікації як лобіювання чи обмеження відповідних конституційних прав</w:t>
      </w:r>
      <w:r w:rsidRPr="001C7B0D">
        <w:rPr>
          <w:rFonts w:ascii="Times New Roman" w:hAnsi="Times New Roman" w:cs="Times New Roman"/>
          <w:sz w:val="28"/>
          <w:szCs w:val="28"/>
        </w:rPr>
        <w:t>.</w:t>
      </w:r>
    </w:p>
    <w:p w14:paraId="04C7E173" w14:textId="77777777" w:rsidR="00C116BB" w:rsidRPr="00E05949" w:rsidRDefault="00C116BB" w:rsidP="00E05949">
      <w:pPr>
        <w:spacing w:after="0" w:line="360" w:lineRule="auto"/>
        <w:ind w:firstLine="284"/>
        <w:jc w:val="both"/>
        <w:rPr>
          <w:rFonts w:ascii="Times New Roman" w:hAnsi="Times New Roman" w:cs="Times New Roman"/>
          <w:sz w:val="28"/>
          <w:szCs w:val="28"/>
        </w:rPr>
      </w:pPr>
    </w:p>
    <w:p w14:paraId="0320A164" w14:textId="77777777" w:rsidR="00E85680" w:rsidRPr="00E05949" w:rsidRDefault="00E85680" w:rsidP="00E05949">
      <w:pPr>
        <w:spacing w:after="0" w:line="360" w:lineRule="auto"/>
        <w:ind w:firstLine="284"/>
        <w:jc w:val="both"/>
        <w:rPr>
          <w:rFonts w:ascii="Times New Roman" w:hAnsi="Times New Roman" w:cs="Times New Roman"/>
          <w:b/>
          <w:sz w:val="28"/>
          <w:szCs w:val="28"/>
        </w:rPr>
      </w:pPr>
      <w:r w:rsidRPr="00E05949">
        <w:rPr>
          <w:rFonts w:ascii="Times New Roman" w:hAnsi="Times New Roman" w:cs="Times New Roman"/>
          <w:b/>
          <w:sz w:val="28"/>
          <w:szCs w:val="28"/>
        </w:rPr>
        <w:t>СПИСОК ВИКОРИСТАНИХ ДЖЕРЕЛ:</w:t>
      </w:r>
    </w:p>
    <w:p w14:paraId="15DC3E0A"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Конституція України від 28 червня 1996 р. № 254к/96-ВР. URL: </w:t>
      </w:r>
      <w:hyperlink r:id="rId6" w:history="1">
        <w:r w:rsidR="001F6176" w:rsidRPr="00E05949">
          <w:rPr>
            <w:rStyle w:val="a4"/>
            <w:rFonts w:ascii="Times New Roman" w:hAnsi="Times New Roman" w:cs="Times New Roman"/>
            <w:sz w:val="28"/>
            <w:szCs w:val="28"/>
          </w:rPr>
          <w:t>https://zakon.rada.gov.ua/laws/show/254%D0%BA/96-%D0%B2%D1%80</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3D44CEC4"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лобіювання: Закон України від 23 лютого 2024 р. № 3606-IX. URL: </w:t>
      </w:r>
      <w:hyperlink r:id="rId7" w:history="1">
        <w:r w:rsidR="0048251B" w:rsidRPr="00E05949">
          <w:rPr>
            <w:rStyle w:val="a4"/>
            <w:rFonts w:ascii="Times New Roman" w:hAnsi="Times New Roman" w:cs="Times New Roman"/>
            <w:sz w:val="28"/>
            <w:szCs w:val="28"/>
          </w:rPr>
          <w:t>https://zakon.rada.gov.ua/laws/show/3606-20</w:t>
        </w:r>
      </w:hyperlink>
      <w:r w:rsidR="0048251B"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13BD0A79"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Про</w:t>
      </w:r>
      <w:r w:rsidR="00C116BB" w:rsidRPr="00E05949">
        <w:rPr>
          <w:rFonts w:ascii="Times New Roman" w:hAnsi="Times New Roman" w:cs="Times New Roman"/>
          <w:sz w:val="28"/>
          <w:szCs w:val="28"/>
        </w:rPr>
        <w:t xml:space="preserve"> доступ до публічної інформації</w:t>
      </w:r>
      <w:r w:rsidRPr="00E05949">
        <w:rPr>
          <w:rFonts w:ascii="Times New Roman" w:hAnsi="Times New Roman" w:cs="Times New Roman"/>
          <w:sz w:val="28"/>
          <w:szCs w:val="28"/>
        </w:rPr>
        <w:t xml:space="preserve">: Закон України від 13 січня 2011 р. № 2939-VI. URL: </w:t>
      </w:r>
      <w:hyperlink r:id="rId8" w:history="1">
        <w:r w:rsidR="001F6176" w:rsidRPr="00E05949">
          <w:rPr>
            <w:rStyle w:val="a4"/>
            <w:rFonts w:ascii="Times New Roman" w:hAnsi="Times New Roman" w:cs="Times New Roman"/>
            <w:sz w:val="28"/>
            <w:szCs w:val="28"/>
          </w:rPr>
          <w:t>https://zakon.rada.gov.ua/laws/show/2939-17</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5647928E"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захист персональних даних: Закон України від 1 червня 2010 р. № 2297-VI. URL: </w:t>
      </w:r>
      <w:hyperlink r:id="rId9" w:history="1">
        <w:r w:rsidR="001F6176" w:rsidRPr="00E05949">
          <w:rPr>
            <w:rStyle w:val="a4"/>
            <w:rFonts w:ascii="Times New Roman" w:hAnsi="Times New Roman" w:cs="Times New Roman"/>
            <w:sz w:val="28"/>
            <w:szCs w:val="28"/>
          </w:rPr>
          <w:t>https://zakon.rada.gov.ua/laws/show/2297-17</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12CE402F"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Деякі питання створення та функціонування Реєстру прозорості: постанова Кабінету Міністрів України від 15 жовтня 2024 р. № 1175. URL: </w:t>
      </w:r>
      <w:hyperlink r:id="rId10" w:history="1">
        <w:r w:rsidR="001F6176" w:rsidRPr="00E05949">
          <w:rPr>
            <w:rStyle w:val="a4"/>
            <w:rFonts w:ascii="Times New Roman" w:hAnsi="Times New Roman" w:cs="Times New Roman"/>
            <w:sz w:val="28"/>
            <w:szCs w:val="28"/>
          </w:rPr>
          <w:t>https://zakon.rada.gov.ua/laws/show/1175-2024-%D0%BF</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0D810273" w14:textId="77777777" w:rsidR="00C116BB"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Мохончук Б., Мокроусова О. Ознаки лобіювання в Україні: невизначеність на межі свавільності. Український часопис конституційного права. 2024. № 2. С. 66</w:t>
      </w:r>
      <w:r w:rsidR="00CA6075" w:rsidRPr="00E05949">
        <w:rPr>
          <w:rFonts w:ascii="Times New Roman" w:hAnsi="Times New Roman" w:cs="Times New Roman"/>
          <w:sz w:val="28"/>
          <w:szCs w:val="28"/>
        </w:rPr>
        <w:t>-</w:t>
      </w:r>
      <w:r w:rsidRPr="00E05949">
        <w:rPr>
          <w:rFonts w:ascii="Times New Roman" w:hAnsi="Times New Roman" w:cs="Times New Roman"/>
          <w:sz w:val="28"/>
          <w:szCs w:val="28"/>
        </w:rPr>
        <w:t xml:space="preserve">75. DOI: </w:t>
      </w:r>
      <w:hyperlink r:id="rId11" w:history="1">
        <w:r w:rsidR="001F6176" w:rsidRPr="00E05949">
          <w:rPr>
            <w:rStyle w:val="a4"/>
            <w:rFonts w:ascii="Times New Roman" w:hAnsi="Times New Roman" w:cs="Times New Roman"/>
            <w:sz w:val="28"/>
            <w:szCs w:val="28"/>
          </w:rPr>
          <w:t>https://doi.org/10.30970/jcl.2.2024.5</w:t>
        </w:r>
      </w:hyperlink>
      <w:r w:rsidR="001F6176" w:rsidRPr="00E05949">
        <w:rPr>
          <w:rFonts w:ascii="Times New Roman" w:hAnsi="Times New Roman" w:cs="Times New Roman"/>
          <w:sz w:val="28"/>
          <w:szCs w:val="28"/>
        </w:rPr>
        <w:t xml:space="preserve"> </w:t>
      </w:r>
    </w:p>
    <w:p w14:paraId="2947B22C" w14:textId="77777777" w:rsidR="00C116BB"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Мохончук Б., Мокроусова О. Лобіювання та адвокація: міжнародні стандарти, зарубіжний досвід та перспективи правового регулювання в Україні. Український часопис конституційного права. 2023. № 4. С. 77</w:t>
      </w:r>
      <w:r w:rsidR="00CA6075" w:rsidRPr="00E05949">
        <w:rPr>
          <w:rFonts w:ascii="Times New Roman" w:hAnsi="Times New Roman" w:cs="Times New Roman"/>
          <w:sz w:val="28"/>
          <w:szCs w:val="28"/>
        </w:rPr>
        <w:t>-</w:t>
      </w:r>
      <w:r w:rsidRPr="00E05949">
        <w:rPr>
          <w:rFonts w:ascii="Times New Roman" w:hAnsi="Times New Roman" w:cs="Times New Roman"/>
          <w:sz w:val="28"/>
          <w:szCs w:val="28"/>
        </w:rPr>
        <w:t xml:space="preserve">90. DOI: </w:t>
      </w:r>
      <w:hyperlink r:id="rId12" w:history="1">
        <w:r w:rsidR="001F6176" w:rsidRPr="00E05949">
          <w:rPr>
            <w:rStyle w:val="a4"/>
            <w:rFonts w:ascii="Times New Roman" w:hAnsi="Times New Roman" w:cs="Times New Roman"/>
            <w:sz w:val="28"/>
            <w:szCs w:val="28"/>
          </w:rPr>
          <w:t>https://doi.org/10.30970/jcl.4.2023.6</w:t>
        </w:r>
      </w:hyperlink>
      <w:r w:rsidR="001F6176" w:rsidRPr="00E05949">
        <w:rPr>
          <w:rFonts w:ascii="Times New Roman" w:hAnsi="Times New Roman" w:cs="Times New Roman"/>
          <w:sz w:val="28"/>
          <w:szCs w:val="28"/>
        </w:rPr>
        <w:t xml:space="preserve"> </w:t>
      </w:r>
    </w:p>
    <w:p w14:paraId="3E8B04E5"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Заєць Д. Легітимізація комунікації лобіювання в Україні: огляд трендів ЄС, підходів чинного законодавства та перспективи інформаційно-правової </w:t>
      </w:r>
      <w:r w:rsidRPr="00E05949">
        <w:rPr>
          <w:rFonts w:ascii="Times New Roman" w:hAnsi="Times New Roman" w:cs="Times New Roman"/>
          <w:sz w:val="28"/>
          <w:szCs w:val="28"/>
        </w:rPr>
        <w:lastRenderedPageBreak/>
        <w:t>політики. Інформація і право. 2024. № 4(51). С. 20</w:t>
      </w:r>
      <w:r w:rsidR="00CA6075" w:rsidRPr="00E05949">
        <w:rPr>
          <w:rFonts w:ascii="Times New Roman" w:hAnsi="Times New Roman" w:cs="Times New Roman"/>
          <w:sz w:val="28"/>
          <w:szCs w:val="28"/>
        </w:rPr>
        <w:t>-</w:t>
      </w:r>
      <w:r w:rsidRPr="00E05949">
        <w:rPr>
          <w:rFonts w:ascii="Times New Roman" w:hAnsi="Times New Roman" w:cs="Times New Roman"/>
          <w:sz w:val="28"/>
          <w:szCs w:val="28"/>
        </w:rPr>
        <w:t xml:space="preserve">32. DOI: </w:t>
      </w:r>
      <w:hyperlink r:id="rId13" w:history="1">
        <w:r w:rsidR="001F6176" w:rsidRPr="00E05949">
          <w:rPr>
            <w:rStyle w:val="a4"/>
            <w:rFonts w:ascii="Times New Roman" w:hAnsi="Times New Roman" w:cs="Times New Roman"/>
            <w:sz w:val="28"/>
            <w:szCs w:val="28"/>
          </w:rPr>
          <w:t>https://doi.org/10.37750/2616-6798.2024.4(51).317559</w:t>
        </w:r>
      </w:hyperlink>
    </w:p>
    <w:p w14:paraId="7647A6E5"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Карпенко О., Герман Д., Гамкрелідзе К., Шульга Л., Буртова О. Перспективи застосовування алгоритмічного лобіювання як інструменту впливу громадянського суспільства на вироблення державної політики. Аспекти публічного управління. 2025. Т. 13, № 2. С. 5</w:t>
      </w:r>
      <w:r w:rsidR="00CA6075" w:rsidRPr="00E05949">
        <w:rPr>
          <w:rFonts w:ascii="Times New Roman" w:hAnsi="Times New Roman" w:cs="Times New Roman"/>
          <w:sz w:val="28"/>
          <w:szCs w:val="28"/>
        </w:rPr>
        <w:t>-</w:t>
      </w:r>
      <w:r w:rsidRPr="00E05949">
        <w:rPr>
          <w:rFonts w:ascii="Times New Roman" w:hAnsi="Times New Roman" w:cs="Times New Roman"/>
          <w:sz w:val="28"/>
          <w:szCs w:val="28"/>
        </w:rPr>
        <w:t xml:space="preserve">10. DOI: </w:t>
      </w:r>
      <w:hyperlink r:id="rId14" w:history="1">
        <w:r w:rsidR="001F6176" w:rsidRPr="00E05949">
          <w:rPr>
            <w:rStyle w:val="a4"/>
            <w:rFonts w:ascii="Times New Roman" w:hAnsi="Times New Roman" w:cs="Times New Roman"/>
            <w:sz w:val="28"/>
            <w:szCs w:val="28"/>
          </w:rPr>
          <w:t>https://doi.org/10.15421/152514</w:t>
        </w:r>
      </w:hyperlink>
    </w:p>
    <w:p w14:paraId="35DA9A00" w14:textId="77777777" w:rsidR="00E85680" w:rsidRPr="00E05949" w:rsidRDefault="001F6176"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Макаров О.</w:t>
      </w:r>
      <w:r w:rsidR="00E85680" w:rsidRPr="00E05949">
        <w:rPr>
          <w:rFonts w:ascii="Times New Roman" w:hAnsi="Times New Roman" w:cs="Times New Roman"/>
          <w:sz w:val="28"/>
          <w:szCs w:val="28"/>
        </w:rPr>
        <w:t>О. Проблеми нормативного узгодження лобіювання та конфлікту інтересів. Держава та регіони. Серія: Публічне управління і адміністрування. 2025. № 3. С. 209</w:t>
      </w:r>
      <w:r w:rsidR="00CA6075" w:rsidRPr="00E05949">
        <w:rPr>
          <w:rFonts w:ascii="Times New Roman" w:hAnsi="Times New Roman" w:cs="Times New Roman"/>
          <w:sz w:val="28"/>
          <w:szCs w:val="28"/>
        </w:rPr>
        <w:t>-</w:t>
      </w:r>
      <w:r w:rsidR="00E85680" w:rsidRPr="00E05949">
        <w:rPr>
          <w:rFonts w:ascii="Times New Roman" w:hAnsi="Times New Roman" w:cs="Times New Roman"/>
          <w:sz w:val="28"/>
          <w:szCs w:val="28"/>
        </w:rPr>
        <w:t xml:space="preserve">215. DOI: </w:t>
      </w:r>
      <w:hyperlink r:id="rId15" w:history="1">
        <w:r w:rsidRPr="00E05949">
          <w:rPr>
            <w:rStyle w:val="a4"/>
            <w:rFonts w:ascii="Times New Roman" w:hAnsi="Times New Roman" w:cs="Times New Roman"/>
            <w:sz w:val="28"/>
            <w:szCs w:val="28"/>
          </w:rPr>
          <w:t>https://doi.org/10.32782/1813-3401.2025.3.29</w:t>
        </w:r>
      </w:hyperlink>
    </w:p>
    <w:p w14:paraId="1E52C0C1"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Олюха В.Г. Використання штучного інтелекту в законотворчій діяльності з урахуванням підходів ЄС. Науковий вісник Ужгородського національного університету. Серія: Право. 2025. Вип. 91, ч. 1. С. 213</w:t>
      </w:r>
      <w:r w:rsidR="00CA6075" w:rsidRPr="00E05949">
        <w:rPr>
          <w:rFonts w:ascii="Times New Roman" w:hAnsi="Times New Roman" w:cs="Times New Roman"/>
          <w:sz w:val="28"/>
          <w:szCs w:val="28"/>
        </w:rPr>
        <w:t>-</w:t>
      </w:r>
      <w:r w:rsidRPr="00E05949">
        <w:rPr>
          <w:rFonts w:ascii="Times New Roman" w:hAnsi="Times New Roman" w:cs="Times New Roman"/>
          <w:sz w:val="28"/>
          <w:szCs w:val="28"/>
        </w:rPr>
        <w:t>219. DOI: https://doi.org/10.24144/2307-3322.2025.91.1.31</w:t>
      </w:r>
    </w:p>
    <w:p w14:paraId="67B95BEA"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Велика Палата Верховного Суду. Постанова від 16 жовтня 2025 р. у справі № 990/162/24. URL: </w:t>
      </w:r>
      <w:hyperlink r:id="rId16" w:history="1">
        <w:r w:rsidR="001F6176" w:rsidRPr="00E05949">
          <w:rPr>
            <w:rStyle w:val="a4"/>
            <w:rFonts w:ascii="Times New Roman" w:hAnsi="Times New Roman" w:cs="Times New Roman"/>
            <w:sz w:val="28"/>
            <w:szCs w:val="28"/>
          </w:rPr>
          <w:t>https://reyestr.court.gov.ua/Review/131713691</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4D081BDD"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Велика Палата Верховного Суду. Постанова від 17 липня 2025 р. у справі № 990/406/24. URL: </w:t>
      </w:r>
      <w:hyperlink r:id="rId17" w:history="1">
        <w:r w:rsidR="001F6176" w:rsidRPr="00E05949">
          <w:rPr>
            <w:rStyle w:val="a4"/>
            <w:rFonts w:ascii="Times New Roman" w:hAnsi="Times New Roman" w:cs="Times New Roman"/>
            <w:sz w:val="28"/>
            <w:szCs w:val="28"/>
          </w:rPr>
          <w:t>https://reyestr.court.gov.ua/Review/130097558</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4B21D0CA"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Касаційний кримінальний суд у складі Верховного Суду. Постанова від 21 травня 2024 р. у справі № 686/8627/22. URL: </w:t>
      </w:r>
      <w:hyperlink r:id="rId18" w:history="1">
        <w:r w:rsidR="001F6176" w:rsidRPr="00E05949">
          <w:rPr>
            <w:rStyle w:val="a4"/>
            <w:rFonts w:ascii="Times New Roman" w:hAnsi="Times New Roman" w:cs="Times New Roman"/>
            <w:sz w:val="28"/>
            <w:szCs w:val="28"/>
          </w:rPr>
          <w:t>https://reyestr.court.gov.ua/Review/119309289</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6B53B79D"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Апеляційна палата Вищого антикорупційного суду. Ухвала від 2 квітня 2026 р. у справі № 991/6812/24. URL: </w:t>
      </w:r>
      <w:hyperlink r:id="rId19" w:history="1">
        <w:r w:rsidR="001F6176" w:rsidRPr="00E05949">
          <w:rPr>
            <w:rStyle w:val="a4"/>
            <w:rFonts w:ascii="Times New Roman" w:hAnsi="Times New Roman" w:cs="Times New Roman"/>
            <w:sz w:val="28"/>
            <w:szCs w:val="28"/>
          </w:rPr>
          <w:t>https://reyestr.court.gov.ua/Review/135538393</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05B7E0E6"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Вищий антикорупційний суд. Вирок від 14 травня 2026 р. у справі № 991/442/24. URL: </w:t>
      </w:r>
      <w:hyperlink r:id="rId20" w:history="1">
        <w:r w:rsidR="001F6176" w:rsidRPr="00E05949">
          <w:rPr>
            <w:rStyle w:val="a4"/>
            <w:rFonts w:ascii="Times New Roman" w:hAnsi="Times New Roman" w:cs="Times New Roman"/>
            <w:sz w:val="28"/>
            <w:szCs w:val="28"/>
          </w:rPr>
          <w:t>https://reyestr.court.gov.ua/Review/136529868</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7A3B8987"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lastRenderedPageBreak/>
        <w:t xml:space="preserve">Велика Палата Верховного Суду. Постанова від 16 лютого 2023 р. у справі № 990/99/22. URL: </w:t>
      </w:r>
      <w:hyperlink r:id="rId21" w:history="1">
        <w:r w:rsidR="001F6176" w:rsidRPr="00E05949">
          <w:rPr>
            <w:rStyle w:val="a4"/>
            <w:rFonts w:ascii="Times New Roman" w:hAnsi="Times New Roman" w:cs="Times New Roman"/>
            <w:sz w:val="28"/>
            <w:szCs w:val="28"/>
          </w:rPr>
          <w:t>https://reyestr.court.gov.ua/Review/109390187</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5918062A"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запобігання загрозам національній безпеці, пов’язаним із надмірним впливом осіб, які мають значну економічну та політичну вагу в суспільному житті (олігархів): Закон України від 23 вересня 2021 р. № 1780-IX. URL: </w:t>
      </w:r>
      <w:hyperlink r:id="rId22" w:history="1">
        <w:r w:rsidR="001F6176" w:rsidRPr="00E05949">
          <w:rPr>
            <w:rStyle w:val="a4"/>
            <w:rFonts w:ascii="Times New Roman" w:hAnsi="Times New Roman" w:cs="Times New Roman"/>
            <w:sz w:val="28"/>
            <w:szCs w:val="28"/>
          </w:rPr>
          <w:t>https://zakon.rada.gov.ua/laws/show/1780-20</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09B1587F"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рішення Ради національної безпеки і оборони України від 29 червня 2022 року «Про затвердження Положення про Реєстр осіб, які мають значну економічну та політичну вагу в суспільному житті (олігархів), порядок його формування і ведення»: Указ Президента України від 29 червня 2022 р. № 459/2022. URL: </w:t>
      </w:r>
      <w:hyperlink r:id="rId23" w:history="1">
        <w:r w:rsidR="001F6176" w:rsidRPr="00E05949">
          <w:rPr>
            <w:rStyle w:val="a4"/>
            <w:rFonts w:ascii="Times New Roman" w:hAnsi="Times New Roman" w:cs="Times New Roman"/>
            <w:sz w:val="28"/>
            <w:szCs w:val="28"/>
          </w:rPr>
          <w:t>https://zakon.rada.gov.ua/laws/show/459/2022</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739CAE71" w14:textId="77777777" w:rsidR="00E85680"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адміністративну процедуру: Закон України від 17 лютого 2022 р. № 2073-IX. URL: </w:t>
      </w:r>
      <w:hyperlink r:id="rId24" w:history="1">
        <w:r w:rsidR="001F6176" w:rsidRPr="00E05949">
          <w:rPr>
            <w:rStyle w:val="a4"/>
            <w:rFonts w:ascii="Times New Roman" w:hAnsi="Times New Roman" w:cs="Times New Roman"/>
            <w:sz w:val="28"/>
            <w:szCs w:val="28"/>
          </w:rPr>
          <w:t>https://zakon.rada.gov.ua/laws/show/2073-20</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5CDD08A1" w14:textId="77777777" w:rsidR="0048251B" w:rsidRPr="00E05949" w:rsidRDefault="00E85680"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затвердження Порядку здійснення моніторингу дотримання вимог законодавства з питань лобіювання: наказ Національного агентства з питань запобігання корупції від 3 жовтня 2025 р. № 303/25, зареєстрований у Міністерстві юстиції України 17 жовтня 2025 р. за № 1505/44911. URL: </w:t>
      </w:r>
      <w:hyperlink r:id="rId25" w:history="1">
        <w:r w:rsidR="001F6176" w:rsidRPr="00E05949">
          <w:rPr>
            <w:rStyle w:val="a4"/>
            <w:rFonts w:ascii="Times New Roman" w:hAnsi="Times New Roman" w:cs="Times New Roman"/>
            <w:sz w:val="28"/>
            <w:szCs w:val="28"/>
          </w:rPr>
          <w:t>https://zakon.rada.gov.ua/laws/show/z1505-25</w:t>
        </w:r>
      </w:hyperlink>
      <w:r w:rsidR="001F6176"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26A0F1C4" w14:textId="77777777" w:rsidR="0048251B" w:rsidRPr="00E05949" w:rsidRDefault="0048251B"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Regulation (EU) 2024/1689 of the European Parliament and of the Council of 13 June 2024 laying down harmonised rules on artificial intelligence (Artificial Intelligence Act). Official Journal of the European Union. OJ L, 2024/1689, 12.7.2024. URL: </w:t>
      </w:r>
      <w:hyperlink r:id="rId26" w:history="1">
        <w:r w:rsidRPr="00E05949">
          <w:rPr>
            <w:rStyle w:val="a4"/>
            <w:rFonts w:ascii="Times New Roman" w:hAnsi="Times New Roman" w:cs="Times New Roman"/>
            <w:sz w:val="28"/>
            <w:szCs w:val="28"/>
          </w:rPr>
          <w:t>https://eur-lex.europa.eu/eli/reg/2024/1689/oj/eng</w:t>
        </w:r>
      </w:hyperlink>
      <w:r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0767A78D" w14:textId="77777777" w:rsidR="006669B1" w:rsidRPr="00E05949" w:rsidRDefault="0048251B"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European Commission for the Efficiency of Justice (CEPEJ). Guidelines on the use of generative artificial intelligence for courts. CEPEJ(2025)18Final. Strasbourg, 19 December 2025. URL: </w:t>
      </w:r>
      <w:hyperlink r:id="rId27" w:history="1">
        <w:r w:rsidRPr="00E05949">
          <w:rPr>
            <w:rStyle w:val="a4"/>
            <w:rFonts w:ascii="Times New Roman" w:hAnsi="Times New Roman" w:cs="Times New Roman"/>
            <w:sz w:val="28"/>
            <w:szCs w:val="28"/>
          </w:rPr>
          <w:t>https://rm.coe.int/cepej-2025-18final-en-draft-guidelines-on-the-use-of-generative-ai-for/48802a4ad1</w:t>
        </w:r>
      </w:hyperlink>
      <w:r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2E937A4E" w14:textId="77777777" w:rsidR="006669B1" w:rsidRPr="00E05949" w:rsidRDefault="006669B1"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lastRenderedPageBreak/>
        <w:t xml:space="preserve">Про правотворчу діяльність: Закон України від 24 серпня 2023 р. № 3354-IX. URL: </w:t>
      </w:r>
      <w:hyperlink r:id="rId28" w:history="1">
        <w:r w:rsidR="001F6176" w:rsidRPr="00E05949">
          <w:rPr>
            <w:rStyle w:val="a4"/>
            <w:rFonts w:ascii="Times New Roman" w:hAnsi="Times New Roman" w:cs="Times New Roman"/>
            <w:sz w:val="28"/>
            <w:szCs w:val="28"/>
          </w:rPr>
          <w:t>https://zakon.rada.gov.ua/laws/show/3354-20</w:t>
        </w:r>
      </w:hyperlink>
      <w:r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6AC7D102" w14:textId="77777777" w:rsidR="006669B1" w:rsidRPr="00E05949" w:rsidRDefault="006669B1"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публічні консультації: Закон України від 20 червня 2024 р. № 3841-IX. URL: </w:t>
      </w:r>
      <w:hyperlink r:id="rId29" w:history="1">
        <w:r w:rsidR="001F6176" w:rsidRPr="00E05949">
          <w:rPr>
            <w:rStyle w:val="a4"/>
            <w:rFonts w:ascii="Times New Roman" w:hAnsi="Times New Roman" w:cs="Times New Roman"/>
            <w:sz w:val="28"/>
            <w:szCs w:val="28"/>
          </w:rPr>
          <w:t>https://zakon.rada.gov.ua/laws/show/3841-20</w:t>
        </w:r>
      </w:hyperlink>
      <w:r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0EAA2F4B" w14:textId="77777777" w:rsidR="006669B1" w:rsidRPr="00E05949" w:rsidRDefault="006669B1"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засади державної регуляторної політики у сфері господарської діяльності: Закон України від 11 вересня 2003 р. № 1160-IV. URL: </w:t>
      </w:r>
      <w:hyperlink r:id="rId30" w:history="1">
        <w:r w:rsidR="00CA6075" w:rsidRPr="00E05949">
          <w:rPr>
            <w:rStyle w:val="a4"/>
            <w:rFonts w:ascii="Times New Roman" w:hAnsi="Times New Roman" w:cs="Times New Roman"/>
            <w:sz w:val="28"/>
            <w:szCs w:val="28"/>
          </w:rPr>
          <w:t>https://zakon.rada.gov.ua/laws/show/1160-15</w:t>
        </w:r>
      </w:hyperlink>
      <w:r w:rsidR="00CA6075" w:rsidRPr="00E05949">
        <w:rPr>
          <w:rFonts w:ascii="Times New Roman" w:hAnsi="Times New Roman" w:cs="Times New Roman"/>
          <w:sz w:val="28"/>
          <w:szCs w:val="28"/>
        </w:rPr>
        <w:t xml:space="preserve"> </w:t>
      </w:r>
      <w:r w:rsidRPr="00E05949">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31E50393" w14:textId="77777777" w:rsidR="006669B1" w:rsidRPr="00E05949" w:rsidRDefault="006669B1" w:rsidP="00E05949">
      <w:pPr>
        <w:pStyle w:val="a3"/>
        <w:numPr>
          <w:ilvl w:val="0"/>
          <w:numId w:val="2"/>
        </w:numPr>
        <w:spacing w:after="0" w:line="360" w:lineRule="auto"/>
        <w:ind w:left="0" w:firstLine="284"/>
        <w:jc w:val="both"/>
        <w:rPr>
          <w:rFonts w:ascii="Times New Roman" w:hAnsi="Times New Roman" w:cs="Times New Roman"/>
          <w:sz w:val="28"/>
          <w:szCs w:val="28"/>
        </w:rPr>
      </w:pPr>
      <w:r w:rsidRPr="00E05949">
        <w:rPr>
          <w:rFonts w:ascii="Times New Roman" w:hAnsi="Times New Roman" w:cs="Times New Roman"/>
          <w:sz w:val="28"/>
          <w:szCs w:val="28"/>
        </w:rPr>
        <w:t xml:space="preserve">Про звернення громадян: Закон України від 2 жовтня 1996 р. № 393/96-ВР. URL: </w:t>
      </w:r>
      <w:hyperlink r:id="rId31" w:history="1">
        <w:r w:rsidR="0048251B" w:rsidRPr="00E05949">
          <w:rPr>
            <w:rStyle w:val="a4"/>
            <w:rFonts w:ascii="Times New Roman" w:hAnsi="Times New Roman" w:cs="Times New Roman"/>
            <w:sz w:val="28"/>
            <w:szCs w:val="28"/>
          </w:rPr>
          <w:t>https://zakon.rada.gov.ua/laws/show/393/96-вр</w:t>
        </w:r>
      </w:hyperlink>
      <w:r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Pr="00E05949">
        <w:rPr>
          <w:rFonts w:ascii="Times New Roman" w:hAnsi="Times New Roman" w:cs="Times New Roman"/>
          <w:sz w:val="28"/>
          <w:szCs w:val="28"/>
        </w:rPr>
        <w:t>).</w:t>
      </w:r>
    </w:p>
    <w:p w14:paraId="39C6E223" w14:textId="77777777" w:rsidR="00423D2D" w:rsidRPr="00E05949" w:rsidRDefault="00A83086" w:rsidP="00E05949">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Берназюк І.</w:t>
      </w:r>
      <w:r w:rsidR="00423D2D" w:rsidRPr="00E05949">
        <w:rPr>
          <w:rFonts w:ascii="Times New Roman" w:hAnsi="Times New Roman" w:cs="Times New Roman"/>
          <w:sz w:val="28"/>
          <w:szCs w:val="28"/>
        </w:rPr>
        <w:t>М. Штучний інтелект як нова реальність та його потенційний вплив на конституційно-правове регулювання в Україні. Порівняльно-аналітичне право. 2025. № 1. С. 76</w:t>
      </w:r>
      <w:r w:rsidR="00CA6075" w:rsidRPr="00E05949">
        <w:rPr>
          <w:rFonts w:ascii="Times New Roman" w:hAnsi="Times New Roman" w:cs="Times New Roman"/>
          <w:sz w:val="28"/>
          <w:szCs w:val="28"/>
        </w:rPr>
        <w:t>-</w:t>
      </w:r>
      <w:r w:rsidR="00423D2D" w:rsidRPr="00E05949">
        <w:rPr>
          <w:rFonts w:ascii="Times New Roman" w:hAnsi="Times New Roman" w:cs="Times New Roman"/>
          <w:sz w:val="28"/>
          <w:szCs w:val="28"/>
        </w:rPr>
        <w:t xml:space="preserve">82. URL: </w:t>
      </w:r>
      <w:hyperlink r:id="rId32" w:history="1">
        <w:r w:rsidR="00CA6075" w:rsidRPr="00E05949">
          <w:rPr>
            <w:rStyle w:val="a4"/>
            <w:rFonts w:ascii="Times New Roman" w:hAnsi="Times New Roman" w:cs="Times New Roman"/>
            <w:sz w:val="28"/>
            <w:szCs w:val="28"/>
          </w:rPr>
          <w:t>https://app-journal.in.ua/wp-content/uploads/2025/02/13.pdf</w:t>
        </w:r>
      </w:hyperlink>
      <w:r w:rsidR="00CA6075"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00CA6075" w:rsidRPr="00E05949">
        <w:rPr>
          <w:rFonts w:ascii="Times New Roman" w:hAnsi="Times New Roman" w:cs="Times New Roman"/>
          <w:sz w:val="28"/>
          <w:szCs w:val="28"/>
        </w:rPr>
        <w:t>).</w:t>
      </w:r>
    </w:p>
    <w:p w14:paraId="1DDE3A59" w14:textId="77777777" w:rsidR="00423D2D" w:rsidRPr="00E05949" w:rsidRDefault="00A83086" w:rsidP="00E05949">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Берназюк І.</w:t>
      </w:r>
      <w:r w:rsidR="00423D2D" w:rsidRPr="00E05949">
        <w:rPr>
          <w:rFonts w:ascii="Times New Roman" w:hAnsi="Times New Roman" w:cs="Times New Roman"/>
          <w:sz w:val="28"/>
          <w:szCs w:val="28"/>
        </w:rPr>
        <w:t>М. Штучний інтелект у правосудді: конституційно-правовий аспект. Аналітично-порівняльне правознавство. 2025. № 2. С. 130</w:t>
      </w:r>
      <w:r w:rsidR="00CA6075" w:rsidRPr="00E05949">
        <w:rPr>
          <w:rFonts w:ascii="Times New Roman" w:hAnsi="Times New Roman" w:cs="Times New Roman"/>
          <w:sz w:val="28"/>
          <w:szCs w:val="28"/>
        </w:rPr>
        <w:t>-</w:t>
      </w:r>
      <w:r w:rsidR="00423D2D" w:rsidRPr="00E05949">
        <w:rPr>
          <w:rFonts w:ascii="Times New Roman" w:hAnsi="Times New Roman" w:cs="Times New Roman"/>
          <w:sz w:val="28"/>
          <w:szCs w:val="28"/>
        </w:rPr>
        <w:t xml:space="preserve">137. URL: </w:t>
      </w:r>
      <w:hyperlink r:id="rId33" w:history="1">
        <w:r w:rsidR="00CA6075" w:rsidRPr="00E05949">
          <w:rPr>
            <w:rStyle w:val="a4"/>
            <w:rFonts w:ascii="Times New Roman" w:hAnsi="Times New Roman" w:cs="Times New Roman"/>
            <w:sz w:val="28"/>
            <w:szCs w:val="28"/>
          </w:rPr>
          <w:t>https://app-journal.in.ua/wp-content/uploads/2025/04/APP_02_2025-2.pdf</w:t>
        </w:r>
      </w:hyperlink>
      <w:r w:rsidR="00CA6075"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00CA6075" w:rsidRPr="00E05949">
        <w:rPr>
          <w:rFonts w:ascii="Times New Roman" w:hAnsi="Times New Roman" w:cs="Times New Roman"/>
          <w:sz w:val="28"/>
          <w:szCs w:val="28"/>
        </w:rPr>
        <w:t>).</w:t>
      </w:r>
    </w:p>
    <w:p w14:paraId="717135CE" w14:textId="77777777" w:rsidR="00423D2D" w:rsidRPr="00E05949" w:rsidRDefault="00A83086" w:rsidP="00E05949">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Берназюк І.</w:t>
      </w:r>
      <w:r w:rsidR="00423D2D" w:rsidRPr="00E05949">
        <w:rPr>
          <w:rFonts w:ascii="Times New Roman" w:hAnsi="Times New Roman" w:cs="Times New Roman"/>
          <w:sz w:val="28"/>
          <w:szCs w:val="28"/>
        </w:rPr>
        <w:t>М. Штучний інтелект і права людини: виклики для Європейської конвенції з прав людини. Аналітично-порівняльне правознавство. 2025. № 3. С. 89</w:t>
      </w:r>
      <w:r w:rsidR="00CA6075" w:rsidRPr="00E05949">
        <w:rPr>
          <w:rFonts w:ascii="Times New Roman" w:hAnsi="Times New Roman" w:cs="Times New Roman"/>
          <w:sz w:val="28"/>
          <w:szCs w:val="28"/>
        </w:rPr>
        <w:t>-</w:t>
      </w:r>
      <w:r w:rsidR="00423D2D" w:rsidRPr="00E05949">
        <w:rPr>
          <w:rFonts w:ascii="Times New Roman" w:hAnsi="Times New Roman" w:cs="Times New Roman"/>
          <w:sz w:val="28"/>
          <w:szCs w:val="28"/>
        </w:rPr>
        <w:t xml:space="preserve">99. URL: </w:t>
      </w:r>
      <w:hyperlink r:id="rId34" w:history="1">
        <w:r w:rsidR="00CA6075" w:rsidRPr="00E05949">
          <w:rPr>
            <w:rStyle w:val="a4"/>
            <w:rFonts w:ascii="Times New Roman" w:hAnsi="Times New Roman" w:cs="Times New Roman"/>
            <w:sz w:val="28"/>
            <w:szCs w:val="28"/>
          </w:rPr>
          <w:t>https://app-journal.in.ua/wp-content/uploads/2025/06/14.pdf</w:t>
        </w:r>
      </w:hyperlink>
      <w:r w:rsidR="00CA6075"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00CA6075" w:rsidRPr="00E05949">
        <w:rPr>
          <w:rFonts w:ascii="Times New Roman" w:hAnsi="Times New Roman" w:cs="Times New Roman"/>
          <w:sz w:val="28"/>
          <w:szCs w:val="28"/>
        </w:rPr>
        <w:t>).</w:t>
      </w:r>
    </w:p>
    <w:p w14:paraId="1F2A18FF" w14:textId="77777777" w:rsidR="00423D2D" w:rsidRPr="00E05949" w:rsidRDefault="00A83086" w:rsidP="00E05949">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Берназюк І.</w:t>
      </w:r>
      <w:r w:rsidR="00423D2D" w:rsidRPr="00E05949">
        <w:rPr>
          <w:rFonts w:ascii="Times New Roman" w:hAnsi="Times New Roman" w:cs="Times New Roman"/>
          <w:sz w:val="28"/>
          <w:szCs w:val="28"/>
        </w:rPr>
        <w:t xml:space="preserve">М. Рамкова </w:t>
      </w:r>
      <w:r w:rsidR="003078A6">
        <w:rPr>
          <w:rFonts w:ascii="Times New Roman" w:hAnsi="Times New Roman" w:cs="Times New Roman"/>
          <w:sz w:val="28"/>
          <w:szCs w:val="28"/>
        </w:rPr>
        <w:t>к</w:t>
      </w:r>
      <w:r w:rsidR="00423D2D" w:rsidRPr="00E05949">
        <w:rPr>
          <w:rFonts w:ascii="Times New Roman" w:hAnsi="Times New Roman" w:cs="Times New Roman"/>
          <w:sz w:val="28"/>
          <w:szCs w:val="28"/>
        </w:rPr>
        <w:t>онвенція Ради Європи про штучний інтелект у контексті захисту прав людини: виклики та значення для України. Науковий вісник Ужгородського національного університету. Серія: Право. 2026. Вип. 93, ч. 3. С. 18</w:t>
      </w:r>
      <w:r w:rsidR="00CA6075" w:rsidRPr="00E05949">
        <w:rPr>
          <w:rFonts w:ascii="Times New Roman" w:hAnsi="Times New Roman" w:cs="Times New Roman"/>
          <w:sz w:val="28"/>
          <w:szCs w:val="28"/>
        </w:rPr>
        <w:t>-</w:t>
      </w:r>
      <w:r w:rsidR="00423D2D" w:rsidRPr="00E05949">
        <w:rPr>
          <w:rFonts w:ascii="Times New Roman" w:hAnsi="Times New Roman" w:cs="Times New Roman"/>
          <w:sz w:val="28"/>
          <w:szCs w:val="28"/>
        </w:rPr>
        <w:t xml:space="preserve">30. URL: </w:t>
      </w:r>
      <w:hyperlink r:id="rId35" w:history="1">
        <w:r w:rsidR="00CA6075" w:rsidRPr="00E05949">
          <w:rPr>
            <w:rStyle w:val="a4"/>
            <w:rFonts w:ascii="Times New Roman" w:hAnsi="Times New Roman" w:cs="Times New Roman"/>
            <w:sz w:val="28"/>
            <w:szCs w:val="28"/>
          </w:rPr>
          <w:t>https://visnyk-pravo.uzhnu.edu.ua/article/download/354445/340733/821527</w:t>
        </w:r>
      </w:hyperlink>
      <w:r w:rsidR="00CA6075" w:rsidRPr="00E05949">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00CA6075" w:rsidRPr="00E05949">
        <w:rPr>
          <w:rFonts w:ascii="Times New Roman" w:hAnsi="Times New Roman" w:cs="Times New Roman"/>
          <w:sz w:val="28"/>
          <w:szCs w:val="28"/>
        </w:rPr>
        <w:t>).</w:t>
      </w:r>
    </w:p>
    <w:p w14:paraId="2D0DBD8A" w14:textId="77777777" w:rsidR="006D7657" w:rsidRPr="00E05949" w:rsidRDefault="00A83086" w:rsidP="00E05949">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Берназюк І.</w:t>
      </w:r>
      <w:r w:rsidR="00423D2D" w:rsidRPr="00E05949">
        <w:rPr>
          <w:rFonts w:ascii="Times New Roman" w:hAnsi="Times New Roman" w:cs="Times New Roman"/>
          <w:sz w:val="28"/>
          <w:szCs w:val="28"/>
        </w:rPr>
        <w:t>М. Окремі аспекти реалізації конституційного права особи на доступ до публічної інформації. Право і суспільство. 2020. № 1. С. 9</w:t>
      </w:r>
      <w:r w:rsidR="00CA6075" w:rsidRPr="00E05949">
        <w:rPr>
          <w:rFonts w:ascii="Times New Roman" w:hAnsi="Times New Roman" w:cs="Times New Roman"/>
          <w:sz w:val="28"/>
          <w:szCs w:val="28"/>
        </w:rPr>
        <w:t>-</w:t>
      </w:r>
      <w:r w:rsidR="00423D2D" w:rsidRPr="00E05949">
        <w:rPr>
          <w:rFonts w:ascii="Times New Roman" w:hAnsi="Times New Roman" w:cs="Times New Roman"/>
          <w:sz w:val="28"/>
          <w:szCs w:val="28"/>
        </w:rPr>
        <w:t>14.</w:t>
      </w:r>
    </w:p>
    <w:p w14:paraId="032D14E1" w14:textId="77777777" w:rsidR="00423D2D" w:rsidRPr="00E05949" w:rsidRDefault="00A83086" w:rsidP="00E05949">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Берназюк І.</w:t>
      </w:r>
      <w:r w:rsidR="00423D2D" w:rsidRPr="00E05949">
        <w:rPr>
          <w:rFonts w:ascii="Times New Roman" w:hAnsi="Times New Roman" w:cs="Times New Roman"/>
          <w:sz w:val="28"/>
          <w:szCs w:val="28"/>
        </w:rPr>
        <w:t>М. Інституалізація державного</w:t>
      </w:r>
      <w:r w:rsidR="006D7657" w:rsidRPr="00E05949">
        <w:rPr>
          <w:rFonts w:ascii="Times New Roman" w:hAnsi="Times New Roman" w:cs="Times New Roman"/>
          <w:sz w:val="28"/>
          <w:szCs w:val="28"/>
        </w:rPr>
        <w:t xml:space="preserve"> контролю </w:t>
      </w:r>
      <w:r w:rsidR="00423D2D" w:rsidRPr="00E05949">
        <w:rPr>
          <w:rFonts w:ascii="Times New Roman" w:hAnsi="Times New Roman" w:cs="Times New Roman"/>
          <w:sz w:val="28"/>
          <w:szCs w:val="28"/>
        </w:rPr>
        <w:t>за додержанням законодавства України про захист персональних даних. Вісник Луганського державного університету внутрішніх справ імені Е. О. Дідоренка. 2020. № 3. С. 15</w:t>
      </w:r>
      <w:r w:rsidR="00CA6075" w:rsidRPr="00E05949">
        <w:rPr>
          <w:rFonts w:ascii="Times New Roman" w:hAnsi="Times New Roman" w:cs="Times New Roman"/>
          <w:sz w:val="28"/>
          <w:szCs w:val="28"/>
        </w:rPr>
        <w:t>-27</w:t>
      </w:r>
      <w:r w:rsidR="00423D2D" w:rsidRPr="00E05949">
        <w:rPr>
          <w:rFonts w:ascii="Times New Roman" w:hAnsi="Times New Roman" w:cs="Times New Roman"/>
          <w:sz w:val="28"/>
          <w:szCs w:val="28"/>
        </w:rPr>
        <w:t>.</w:t>
      </w:r>
      <w:r w:rsidR="006D7657" w:rsidRPr="00E05949">
        <w:rPr>
          <w:rFonts w:ascii="Times New Roman" w:hAnsi="Times New Roman" w:cs="Times New Roman"/>
          <w:sz w:val="28"/>
          <w:szCs w:val="28"/>
        </w:rPr>
        <w:t xml:space="preserve"> DOI: </w:t>
      </w:r>
      <w:hyperlink r:id="rId36" w:history="1">
        <w:r w:rsidR="006D7657" w:rsidRPr="00E05949">
          <w:rPr>
            <w:rStyle w:val="a4"/>
            <w:rFonts w:ascii="Times New Roman" w:hAnsi="Times New Roman" w:cs="Times New Roman"/>
            <w:sz w:val="28"/>
            <w:szCs w:val="28"/>
          </w:rPr>
          <w:t>https://doi.org/10.33766/2524-0323.91.15-27</w:t>
        </w:r>
      </w:hyperlink>
      <w:r w:rsidR="00CA6075" w:rsidRPr="00E05949">
        <w:rPr>
          <w:rFonts w:ascii="Times New Roman" w:hAnsi="Times New Roman" w:cs="Times New Roman"/>
          <w:sz w:val="28"/>
          <w:szCs w:val="28"/>
        </w:rPr>
        <w:t>.</w:t>
      </w:r>
    </w:p>
    <w:p w14:paraId="7386A2A0" w14:textId="77777777" w:rsidR="00EF5B80" w:rsidRDefault="00A83086" w:rsidP="00EF5B80">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Берназюк І.</w:t>
      </w:r>
      <w:r w:rsidR="00423D2D" w:rsidRPr="00E05949">
        <w:rPr>
          <w:rFonts w:ascii="Times New Roman" w:hAnsi="Times New Roman" w:cs="Times New Roman"/>
          <w:sz w:val="28"/>
          <w:szCs w:val="28"/>
        </w:rPr>
        <w:t>М. Законодавчі гарантії та основні механізми виконання інститутами громадянського суспільства функцій суб’єктів запобігання корупції</w:t>
      </w:r>
      <w:r w:rsidR="004D71C7">
        <w:rPr>
          <w:rFonts w:ascii="Times New Roman" w:hAnsi="Times New Roman" w:cs="Times New Roman"/>
          <w:sz w:val="28"/>
          <w:szCs w:val="28"/>
        </w:rPr>
        <w:t xml:space="preserve"> </w:t>
      </w:r>
      <w:r w:rsidR="00423D2D" w:rsidRPr="00E05949">
        <w:rPr>
          <w:rFonts w:ascii="Times New Roman" w:hAnsi="Times New Roman" w:cs="Times New Roman"/>
          <w:sz w:val="28"/>
          <w:szCs w:val="28"/>
        </w:rPr>
        <w:t>/ Корупція як цивілізаційний феномен: причини та шляхи подолання</w:t>
      </w:r>
      <w:r>
        <w:rPr>
          <w:rFonts w:ascii="Times New Roman" w:hAnsi="Times New Roman" w:cs="Times New Roman"/>
          <w:sz w:val="28"/>
          <w:szCs w:val="28"/>
        </w:rPr>
        <w:t>: монографія / Ю.</w:t>
      </w:r>
      <w:r w:rsidR="00423D2D" w:rsidRPr="00E05949">
        <w:rPr>
          <w:rFonts w:ascii="Times New Roman" w:hAnsi="Times New Roman" w:cs="Times New Roman"/>
          <w:sz w:val="28"/>
          <w:szCs w:val="28"/>
        </w:rPr>
        <w:t>М. Бисага та ін. Ужгород: Видавничий</w:t>
      </w:r>
      <w:r w:rsidR="00CA6075" w:rsidRPr="00E05949">
        <w:rPr>
          <w:rFonts w:ascii="Times New Roman" w:hAnsi="Times New Roman" w:cs="Times New Roman"/>
          <w:sz w:val="28"/>
          <w:szCs w:val="28"/>
        </w:rPr>
        <w:t xml:space="preserve"> дім Гельветика</w:t>
      </w:r>
      <w:r w:rsidR="00423D2D" w:rsidRPr="00E05949">
        <w:rPr>
          <w:rFonts w:ascii="Times New Roman" w:hAnsi="Times New Roman" w:cs="Times New Roman"/>
          <w:sz w:val="28"/>
          <w:szCs w:val="28"/>
        </w:rPr>
        <w:t>, 2016. С. 103</w:t>
      </w:r>
      <w:r w:rsidR="00CA6075" w:rsidRPr="00E05949">
        <w:rPr>
          <w:rFonts w:ascii="Times New Roman" w:hAnsi="Times New Roman" w:cs="Times New Roman"/>
          <w:sz w:val="28"/>
          <w:szCs w:val="28"/>
        </w:rPr>
        <w:t>-</w:t>
      </w:r>
      <w:r w:rsidR="00423D2D" w:rsidRPr="00E05949">
        <w:rPr>
          <w:rFonts w:ascii="Times New Roman" w:hAnsi="Times New Roman" w:cs="Times New Roman"/>
          <w:sz w:val="28"/>
          <w:szCs w:val="28"/>
        </w:rPr>
        <w:t>117.</w:t>
      </w:r>
    </w:p>
    <w:p w14:paraId="0F19B862" w14:textId="77777777" w:rsidR="008468D0" w:rsidRDefault="00EF5B80" w:rsidP="008468D0">
      <w:pPr>
        <w:pStyle w:val="a3"/>
        <w:numPr>
          <w:ilvl w:val="0"/>
          <w:numId w:val="2"/>
        </w:numPr>
        <w:spacing w:after="0" w:line="360" w:lineRule="auto"/>
        <w:ind w:left="0" w:firstLine="284"/>
        <w:jc w:val="both"/>
        <w:rPr>
          <w:rFonts w:ascii="Times New Roman" w:hAnsi="Times New Roman" w:cs="Times New Roman"/>
          <w:sz w:val="28"/>
          <w:szCs w:val="28"/>
        </w:rPr>
      </w:pPr>
      <w:r w:rsidRPr="00EF5B80">
        <w:rPr>
          <w:rFonts w:ascii="Times New Roman" w:hAnsi="Times New Roman" w:cs="Times New Roman"/>
          <w:sz w:val="28"/>
          <w:szCs w:val="28"/>
        </w:rPr>
        <w:t xml:space="preserve">Національне агентство з питань запобігання корупції. Роз’яснення щодо застосування актів законодавства з питань лобіювання від 31 травня 2026 р. № 2. URL: </w:t>
      </w:r>
      <w:hyperlink r:id="rId37" w:history="1">
        <w:r w:rsidRPr="00EF5B80">
          <w:rPr>
            <w:rStyle w:val="a4"/>
            <w:rFonts w:ascii="Times New Roman" w:hAnsi="Times New Roman" w:cs="Times New Roman"/>
            <w:sz w:val="28"/>
            <w:szCs w:val="28"/>
          </w:rPr>
          <w:t>https://wiki.nazk.gov.ua/pdfjs/?file=/wp-content/uploads/Categories/6b/af/6baf358a1d7585ca29a45b9eeaccf6683285e44c72bc027914dc36a21ac6581d56025714.pdf</w:t>
        </w:r>
      </w:hyperlink>
      <w:r w:rsidRPr="00EF5B80">
        <w:rPr>
          <w:rFonts w:ascii="Times New Roman" w:hAnsi="Times New Roman" w:cs="Times New Roman"/>
          <w:sz w:val="28"/>
          <w:szCs w:val="28"/>
        </w:rPr>
        <w:t xml:space="preserve"> (дата звернення: </w:t>
      </w:r>
      <w:r w:rsidR="006A715B">
        <w:rPr>
          <w:rFonts w:ascii="Times New Roman" w:hAnsi="Times New Roman" w:cs="Times New Roman"/>
          <w:sz w:val="28"/>
          <w:szCs w:val="28"/>
        </w:rPr>
        <w:t>11.08.2026</w:t>
      </w:r>
      <w:r w:rsidRPr="00EF5B80">
        <w:rPr>
          <w:rFonts w:ascii="Times New Roman" w:hAnsi="Times New Roman" w:cs="Times New Roman"/>
          <w:sz w:val="28"/>
          <w:szCs w:val="28"/>
        </w:rPr>
        <w:t>).</w:t>
      </w:r>
    </w:p>
    <w:p w14:paraId="68C35380" w14:textId="77777777" w:rsidR="006A715B" w:rsidRDefault="00EF5B80" w:rsidP="006A715B">
      <w:pPr>
        <w:pStyle w:val="a3"/>
        <w:numPr>
          <w:ilvl w:val="0"/>
          <w:numId w:val="2"/>
        </w:numPr>
        <w:spacing w:after="0" w:line="360" w:lineRule="auto"/>
        <w:ind w:left="0" w:firstLine="284"/>
        <w:jc w:val="both"/>
        <w:rPr>
          <w:rFonts w:ascii="Times New Roman" w:hAnsi="Times New Roman" w:cs="Times New Roman"/>
          <w:sz w:val="28"/>
          <w:szCs w:val="28"/>
        </w:rPr>
      </w:pPr>
      <w:r w:rsidRPr="008468D0">
        <w:rPr>
          <w:rFonts w:ascii="Times New Roman" w:hAnsi="Times New Roman" w:cs="Times New Roman"/>
          <w:sz w:val="28"/>
          <w:szCs w:val="28"/>
        </w:rPr>
        <w:t xml:space="preserve">European Commission for Democracy through Law (Venice Commission). Opinion on the Law “On the Prevention of Threats to National Security </w:t>
      </w:r>
      <w:proofErr w:type="spellStart"/>
      <w:r w:rsidRPr="008468D0">
        <w:rPr>
          <w:rFonts w:ascii="Times New Roman" w:hAnsi="Times New Roman" w:cs="Times New Roman"/>
          <w:sz w:val="28"/>
          <w:szCs w:val="28"/>
        </w:rPr>
        <w:t>Related</w:t>
      </w:r>
      <w:proofErr w:type="spellEnd"/>
      <w:r w:rsidRPr="008468D0">
        <w:rPr>
          <w:rFonts w:ascii="Times New Roman" w:hAnsi="Times New Roman" w:cs="Times New Roman"/>
          <w:sz w:val="28"/>
          <w:szCs w:val="28"/>
        </w:rPr>
        <w:t xml:space="preserve"> to the </w:t>
      </w:r>
      <w:proofErr w:type="spellStart"/>
      <w:r w:rsidRPr="008468D0">
        <w:rPr>
          <w:rFonts w:ascii="Times New Roman" w:hAnsi="Times New Roman" w:cs="Times New Roman"/>
          <w:sz w:val="28"/>
          <w:szCs w:val="28"/>
        </w:rPr>
        <w:t>Excessive</w:t>
      </w:r>
      <w:proofErr w:type="spellEnd"/>
      <w:r w:rsidRPr="008468D0">
        <w:rPr>
          <w:rFonts w:ascii="Times New Roman" w:hAnsi="Times New Roman" w:cs="Times New Roman"/>
          <w:sz w:val="28"/>
          <w:szCs w:val="28"/>
        </w:rPr>
        <w:t xml:space="preserve"> </w:t>
      </w:r>
      <w:proofErr w:type="spellStart"/>
      <w:r w:rsidRPr="008468D0">
        <w:rPr>
          <w:rFonts w:ascii="Times New Roman" w:hAnsi="Times New Roman" w:cs="Times New Roman"/>
          <w:sz w:val="28"/>
          <w:szCs w:val="28"/>
        </w:rPr>
        <w:t>Influence</w:t>
      </w:r>
      <w:proofErr w:type="spellEnd"/>
      <w:r w:rsidRPr="008468D0">
        <w:rPr>
          <w:rFonts w:ascii="Times New Roman" w:hAnsi="Times New Roman" w:cs="Times New Roman"/>
          <w:sz w:val="28"/>
          <w:szCs w:val="28"/>
        </w:rPr>
        <w:t xml:space="preserve"> of Persons with </w:t>
      </w:r>
      <w:proofErr w:type="spellStart"/>
      <w:r w:rsidRPr="008468D0">
        <w:rPr>
          <w:rFonts w:ascii="Times New Roman" w:hAnsi="Times New Roman" w:cs="Times New Roman"/>
          <w:sz w:val="28"/>
          <w:szCs w:val="28"/>
        </w:rPr>
        <w:t>Significant</w:t>
      </w:r>
      <w:proofErr w:type="spellEnd"/>
      <w:r w:rsidRPr="008468D0">
        <w:rPr>
          <w:rFonts w:ascii="Times New Roman" w:hAnsi="Times New Roman" w:cs="Times New Roman"/>
          <w:sz w:val="28"/>
          <w:szCs w:val="28"/>
        </w:rPr>
        <w:t xml:space="preserve"> Economic and Political </w:t>
      </w:r>
      <w:proofErr w:type="spellStart"/>
      <w:r w:rsidRPr="008468D0">
        <w:rPr>
          <w:rFonts w:ascii="Times New Roman" w:hAnsi="Times New Roman" w:cs="Times New Roman"/>
          <w:sz w:val="28"/>
          <w:szCs w:val="28"/>
        </w:rPr>
        <w:t>Weight</w:t>
      </w:r>
      <w:proofErr w:type="spellEnd"/>
      <w:r w:rsidRPr="008468D0">
        <w:rPr>
          <w:rFonts w:ascii="Times New Roman" w:hAnsi="Times New Roman" w:cs="Times New Roman"/>
          <w:sz w:val="28"/>
          <w:szCs w:val="28"/>
        </w:rPr>
        <w:t xml:space="preserve"> in Public Life (</w:t>
      </w:r>
      <w:proofErr w:type="spellStart"/>
      <w:r w:rsidRPr="008468D0">
        <w:rPr>
          <w:rFonts w:ascii="Times New Roman" w:hAnsi="Times New Roman" w:cs="Times New Roman"/>
          <w:sz w:val="28"/>
          <w:szCs w:val="28"/>
        </w:rPr>
        <w:t>Oligarchs</w:t>
      </w:r>
      <w:proofErr w:type="spellEnd"/>
      <w:r w:rsidRPr="008468D0">
        <w:rPr>
          <w:rFonts w:ascii="Times New Roman" w:hAnsi="Times New Roman" w:cs="Times New Roman"/>
          <w:sz w:val="28"/>
          <w:szCs w:val="28"/>
        </w:rPr>
        <w:t xml:space="preserve">)”. CDL-AD(2023)018. Adopted at the 135th Plenary Session, Venice, 9–10 June 2023. Strasbourg, 12 </w:t>
      </w:r>
      <w:proofErr w:type="spellStart"/>
      <w:r w:rsidRPr="008468D0">
        <w:rPr>
          <w:rFonts w:ascii="Times New Roman" w:hAnsi="Times New Roman" w:cs="Times New Roman"/>
          <w:sz w:val="28"/>
          <w:szCs w:val="28"/>
        </w:rPr>
        <w:t>June</w:t>
      </w:r>
      <w:proofErr w:type="spellEnd"/>
      <w:r w:rsidRPr="008468D0">
        <w:rPr>
          <w:rFonts w:ascii="Times New Roman" w:hAnsi="Times New Roman" w:cs="Times New Roman"/>
          <w:sz w:val="28"/>
          <w:szCs w:val="28"/>
        </w:rPr>
        <w:t xml:space="preserve"> 2023. URL: </w:t>
      </w:r>
      <w:hyperlink r:id="rId38" w:history="1">
        <w:r w:rsidR="008468D0" w:rsidRPr="008468D0">
          <w:rPr>
            <w:rStyle w:val="a4"/>
            <w:rFonts w:ascii="Times New Roman" w:hAnsi="Times New Roman" w:cs="Times New Roman"/>
            <w:sz w:val="28"/>
            <w:szCs w:val="28"/>
          </w:rPr>
          <w:t>https://www.venice.coe.int/webforms/documents/?pdf=CDL-AD(2023)018-e</w:t>
        </w:r>
      </w:hyperlink>
      <w:r w:rsidR="008468D0" w:rsidRPr="008468D0">
        <w:rPr>
          <w:rFonts w:ascii="Times New Roman" w:hAnsi="Times New Roman" w:cs="Times New Roman"/>
          <w:sz w:val="28"/>
          <w:szCs w:val="28"/>
        </w:rPr>
        <w:t xml:space="preserve"> </w:t>
      </w:r>
      <w:r w:rsidRPr="008468D0">
        <w:rPr>
          <w:rFonts w:ascii="Times New Roman" w:hAnsi="Times New Roman" w:cs="Times New Roman"/>
          <w:sz w:val="28"/>
          <w:szCs w:val="28"/>
        </w:rPr>
        <w:t xml:space="preserve">(дата звернення: </w:t>
      </w:r>
      <w:r w:rsidR="006A715B">
        <w:rPr>
          <w:rFonts w:ascii="Times New Roman" w:hAnsi="Times New Roman" w:cs="Times New Roman"/>
          <w:sz w:val="28"/>
          <w:szCs w:val="28"/>
        </w:rPr>
        <w:t>11.08.2026</w:t>
      </w:r>
      <w:r w:rsidRPr="008468D0">
        <w:rPr>
          <w:rFonts w:ascii="Times New Roman" w:hAnsi="Times New Roman" w:cs="Times New Roman"/>
          <w:sz w:val="28"/>
          <w:szCs w:val="28"/>
        </w:rPr>
        <w:t>).</w:t>
      </w:r>
    </w:p>
    <w:p w14:paraId="286755C7" w14:textId="77777777" w:rsidR="006A715B" w:rsidRDefault="006A715B" w:rsidP="006A715B">
      <w:pPr>
        <w:pStyle w:val="a3"/>
        <w:numPr>
          <w:ilvl w:val="0"/>
          <w:numId w:val="2"/>
        </w:numPr>
        <w:spacing w:after="0" w:line="360" w:lineRule="auto"/>
        <w:ind w:left="0"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Дідич Т.О., Чаплюк О.І., Слюсарь Д.Є. Лобіювання як юридична конструкція: особливості формалізації. Legal Bulletin. 2026. № 2 (20). С. 10–17. DOI: </w:t>
      </w:r>
      <w:hyperlink r:id="rId39" w:history="1">
        <w:r w:rsidRPr="001E4A85">
          <w:rPr>
            <w:rStyle w:val="a4"/>
            <w:rFonts w:ascii="Times New Roman" w:hAnsi="Times New Roman" w:cs="Times New Roman"/>
            <w:sz w:val="28"/>
            <w:szCs w:val="28"/>
          </w:rPr>
          <w:t>https://doi.org/10.31732/2708-339X-2026-20-A1</w:t>
        </w:r>
      </w:hyperlink>
    </w:p>
    <w:p w14:paraId="1F528BEF" w14:textId="77777777" w:rsidR="006A715B" w:rsidRDefault="006A715B" w:rsidP="006A715B">
      <w:pPr>
        <w:pStyle w:val="a3"/>
        <w:numPr>
          <w:ilvl w:val="0"/>
          <w:numId w:val="2"/>
        </w:numPr>
        <w:spacing w:after="0" w:line="360" w:lineRule="auto"/>
        <w:ind w:left="0"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Кротюк О.В. Заінтересовані особи як учасники правотворчої діяльності: проблеми та перспективи конституційно-правового забезпечення в Україні. Аналітично-порівняльне правознавство. 2026. № 2. Ч. 1. С. 130–135. DOI: </w:t>
      </w:r>
      <w:hyperlink r:id="rId40" w:history="1">
        <w:r w:rsidRPr="001E4A85">
          <w:rPr>
            <w:rStyle w:val="a4"/>
            <w:rFonts w:ascii="Times New Roman" w:hAnsi="Times New Roman" w:cs="Times New Roman"/>
            <w:sz w:val="28"/>
            <w:szCs w:val="28"/>
          </w:rPr>
          <w:t>https://doi.org</w:t>
        </w:r>
        <w:r w:rsidRPr="001E4A85">
          <w:rPr>
            <w:rStyle w:val="a4"/>
            <w:rFonts w:ascii="Times New Roman" w:hAnsi="Times New Roman" w:cs="Times New Roman"/>
            <w:sz w:val="28"/>
            <w:szCs w:val="28"/>
          </w:rPr>
          <w:t>/</w:t>
        </w:r>
        <w:r w:rsidRPr="001E4A85">
          <w:rPr>
            <w:rStyle w:val="a4"/>
            <w:rFonts w:ascii="Times New Roman" w:hAnsi="Times New Roman" w:cs="Times New Roman"/>
            <w:sz w:val="28"/>
            <w:szCs w:val="28"/>
          </w:rPr>
          <w:t>10.24144/2788-6018.2026.02.1.19</w:t>
        </w:r>
      </w:hyperlink>
    </w:p>
    <w:p w14:paraId="3CCF2518" w14:textId="77777777" w:rsidR="006A715B" w:rsidRDefault="006A715B" w:rsidP="006A715B">
      <w:pPr>
        <w:pStyle w:val="a3"/>
        <w:numPr>
          <w:ilvl w:val="0"/>
          <w:numId w:val="2"/>
        </w:numPr>
        <w:spacing w:after="0" w:line="360" w:lineRule="auto"/>
        <w:ind w:left="0" w:firstLine="284"/>
        <w:jc w:val="both"/>
        <w:rPr>
          <w:rFonts w:ascii="Times New Roman" w:hAnsi="Times New Roman" w:cs="Times New Roman"/>
          <w:sz w:val="28"/>
          <w:szCs w:val="28"/>
        </w:rPr>
      </w:pPr>
      <w:proofErr w:type="spellStart"/>
      <w:r w:rsidRPr="006A715B">
        <w:rPr>
          <w:rFonts w:ascii="Times New Roman" w:hAnsi="Times New Roman" w:cs="Times New Roman"/>
          <w:sz w:val="28"/>
          <w:szCs w:val="28"/>
        </w:rPr>
        <w:t>Ігнатуша</w:t>
      </w:r>
      <w:proofErr w:type="spellEnd"/>
      <w:r w:rsidRPr="006A715B">
        <w:rPr>
          <w:rFonts w:ascii="Times New Roman" w:hAnsi="Times New Roman" w:cs="Times New Roman"/>
          <w:sz w:val="28"/>
          <w:szCs w:val="28"/>
        </w:rPr>
        <w:t xml:space="preserve"> В.В. Правове регулювання принципів прозорості та підзвітності систем ШІ в ЄС: сучасний стан та перспективи розвитку. Юридичний науковий електронний журнал. 2026. № 1. С. 265–272. DOI: </w:t>
      </w:r>
      <w:hyperlink r:id="rId41" w:history="1">
        <w:r w:rsidRPr="001E4A85">
          <w:rPr>
            <w:rStyle w:val="a4"/>
            <w:rFonts w:ascii="Times New Roman" w:hAnsi="Times New Roman" w:cs="Times New Roman"/>
            <w:sz w:val="28"/>
            <w:szCs w:val="28"/>
          </w:rPr>
          <w:t>https://doi.org/10.32782/2524-0374/2026-1/58</w:t>
        </w:r>
      </w:hyperlink>
    </w:p>
    <w:p w14:paraId="71CED851" w14:textId="77777777" w:rsidR="006A715B" w:rsidRDefault="006A715B" w:rsidP="006A715B">
      <w:pPr>
        <w:pStyle w:val="a3"/>
        <w:numPr>
          <w:ilvl w:val="0"/>
          <w:numId w:val="2"/>
        </w:numPr>
        <w:spacing w:after="0" w:line="360" w:lineRule="auto"/>
        <w:ind w:left="0" w:firstLine="284"/>
        <w:jc w:val="both"/>
        <w:rPr>
          <w:rFonts w:ascii="Times New Roman" w:hAnsi="Times New Roman" w:cs="Times New Roman"/>
          <w:sz w:val="28"/>
          <w:szCs w:val="28"/>
        </w:rPr>
      </w:pPr>
      <w:proofErr w:type="spellStart"/>
      <w:r w:rsidRPr="006A715B">
        <w:rPr>
          <w:rFonts w:ascii="Times New Roman" w:hAnsi="Times New Roman" w:cs="Times New Roman"/>
          <w:sz w:val="28"/>
          <w:szCs w:val="28"/>
        </w:rPr>
        <w:lastRenderedPageBreak/>
        <w:t>Tanglis</w:t>
      </w:r>
      <w:proofErr w:type="spellEnd"/>
      <w:r w:rsidRPr="006A715B">
        <w:rPr>
          <w:rFonts w:ascii="Times New Roman" w:hAnsi="Times New Roman" w:cs="Times New Roman"/>
          <w:sz w:val="28"/>
          <w:szCs w:val="28"/>
        </w:rPr>
        <w:t xml:space="preserve"> M., </w:t>
      </w:r>
      <w:proofErr w:type="spellStart"/>
      <w:r w:rsidRPr="006A715B">
        <w:rPr>
          <w:rFonts w:ascii="Times New Roman" w:hAnsi="Times New Roman" w:cs="Times New Roman"/>
          <w:sz w:val="28"/>
          <w:szCs w:val="28"/>
        </w:rPr>
        <w:t>O’Grady</w:t>
      </w:r>
      <w:proofErr w:type="spellEnd"/>
      <w:r w:rsidRPr="006A715B">
        <w:rPr>
          <w:rFonts w:ascii="Times New Roman" w:hAnsi="Times New Roman" w:cs="Times New Roman"/>
          <w:sz w:val="28"/>
          <w:szCs w:val="28"/>
        </w:rPr>
        <w:t xml:space="preserve"> E. Generative Influence: </w:t>
      </w:r>
      <w:proofErr w:type="spellStart"/>
      <w:r w:rsidRPr="006A715B">
        <w:rPr>
          <w:rFonts w:ascii="Times New Roman" w:hAnsi="Times New Roman" w:cs="Times New Roman"/>
          <w:sz w:val="28"/>
          <w:szCs w:val="28"/>
        </w:rPr>
        <w:t>More</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than</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one</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quarter</w:t>
      </w:r>
      <w:proofErr w:type="spellEnd"/>
      <w:r w:rsidRPr="006A715B">
        <w:rPr>
          <w:rFonts w:ascii="Times New Roman" w:hAnsi="Times New Roman" w:cs="Times New Roman"/>
          <w:sz w:val="28"/>
          <w:szCs w:val="28"/>
        </w:rPr>
        <w:t xml:space="preserve"> of </w:t>
      </w:r>
      <w:proofErr w:type="spellStart"/>
      <w:r w:rsidRPr="006A715B">
        <w:rPr>
          <w:rFonts w:ascii="Times New Roman" w:hAnsi="Times New Roman" w:cs="Times New Roman"/>
          <w:sz w:val="28"/>
          <w:szCs w:val="28"/>
        </w:rPr>
        <w:t>all</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federal</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lobbyists</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are</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now</w:t>
      </w:r>
      <w:proofErr w:type="spellEnd"/>
      <w:r w:rsidRPr="006A715B">
        <w:rPr>
          <w:rFonts w:ascii="Times New Roman" w:hAnsi="Times New Roman" w:cs="Times New Roman"/>
          <w:sz w:val="28"/>
          <w:szCs w:val="28"/>
        </w:rPr>
        <w:t xml:space="preserve"> lobbying on AI </w:t>
      </w:r>
      <w:proofErr w:type="spellStart"/>
      <w:r w:rsidRPr="006A715B">
        <w:rPr>
          <w:rFonts w:ascii="Times New Roman" w:hAnsi="Times New Roman" w:cs="Times New Roman"/>
          <w:sz w:val="28"/>
          <w:szCs w:val="28"/>
        </w:rPr>
        <w:t>issues</w:t>
      </w:r>
      <w:proofErr w:type="spellEnd"/>
      <w:r w:rsidRPr="006A715B">
        <w:rPr>
          <w:rFonts w:ascii="Times New Roman" w:hAnsi="Times New Roman" w:cs="Times New Roman"/>
          <w:sz w:val="28"/>
          <w:szCs w:val="28"/>
        </w:rPr>
        <w:t xml:space="preserve">. Public Citizen. 24 February 2026. URL: </w:t>
      </w:r>
      <w:hyperlink r:id="rId42" w:history="1">
        <w:r w:rsidRPr="001E4A85">
          <w:rPr>
            <w:rStyle w:val="a4"/>
            <w:rFonts w:ascii="Times New Roman" w:hAnsi="Times New Roman" w:cs="Times New Roman"/>
            <w:sz w:val="28"/>
            <w:szCs w:val="28"/>
          </w:rPr>
          <w:t>https://www.citizen.org/article/generative-influence</w:t>
        </w:r>
      </w:hyperlink>
      <w:r w:rsidRPr="006A715B">
        <w:rPr>
          <w:rFonts w:ascii="Times New Roman" w:hAnsi="Times New Roman" w:cs="Times New Roman"/>
          <w:sz w:val="28"/>
          <w:szCs w:val="28"/>
        </w:rPr>
        <w:t xml:space="preserve"> (дата звернення: </w:t>
      </w:r>
      <w:r>
        <w:rPr>
          <w:rFonts w:ascii="Times New Roman" w:hAnsi="Times New Roman" w:cs="Times New Roman"/>
          <w:sz w:val="28"/>
          <w:szCs w:val="28"/>
        </w:rPr>
        <w:t>11.08.2026</w:t>
      </w:r>
      <w:r w:rsidRPr="006A715B">
        <w:rPr>
          <w:rFonts w:ascii="Times New Roman" w:hAnsi="Times New Roman" w:cs="Times New Roman"/>
          <w:sz w:val="28"/>
          <w:szCs w:val="28"/>
        </w:rPr>
        <w:t>).</w:t>
      </w:r>
    </w:p>
    <w:p w14:paraId="274D8A06" w14:textId="77777777" w:rsidR="006A715B" w:rsidRDefault="006A715B" w:rsidP="006A715B">
      <w:pPr>
        <w:pStyle w:val="a3"/>
        <w:numPr>
          <w:ilvl w:val="0"/>
          <w:numId w:val="2"/>
        </w:numPr>
        <w:spacing w:after="0" w:line="360" w:lineRule="auto"/>
        <w:ind w:left="0"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OECD. </w:t>
      </w:r>
      <w:proofErr w:type="spellStart"/>
      <w:r w:rsidRPr="006A715B">
        <w:rPr>
          <w:rFonts w:ascii="Times New Roman" w:hAnsi="Times New Roman" w:cs="Times New Roman"/>
          <w:sz w:val="28"/>
          <w:szCs w:val="28"/>
        </w:rPr>
        <w:t>Anti</w:t>
      </w:r>
      <w:proofErr w:type="spellEnd"/>
      <w:r w:rsidRPr="006A715B">
        <w:rPr>
          <w:rFonts w:ascii="Times New Roman" w:hAnsi="Times New Roman" w:cs="Times New Roman"/>
          <w:sz w:val="28"/>
          <w:szCs w:val="28"/>
        </w:rPr>
        <w:t xml:space="preserve">-Corruption and </w:t>
      </w:r>
      <w:proofErr w:type="spellStart"/>
      <w:r w:rsidRPr="006A715B">
        <w:rPr>
          <w:rFonts w:ascii="Times New Roman" w:hAnsi="Times New Roman" w:cs="Times New Roman"/>
          <w:sz w:val="28"/>
          <w:szCs w:val="28"/>
        </w:rPr>
        <w:t>Integrity</w:t>
      </w:r>
      <w:proofErr w:type="spellEnd"/>
      <w:r w:rsidRPr="006A715B">
        <w:rPr>
          <w:rFonts w:ascii="Times New Roman" w:hAnsi="Times New Roman" w:cs="Times New Roman"/>
          <w:sz w:val="28"/>
          <w:szCs w:val="28"/>
        </w:rPr>
        <w:t xml:space="preserve"> Outlook 2026: </w:t>
      </w:r>
      <w:proofErr w:type="spellStart"/>
      <w:r w:rsidRPr="006A715B">
        <w:rPr>
          <w:rFonts w:ascii="Times New Roman" w:hAnsi="Times New Roman" w:cs="Times New Roman"/>
          <w:sz w:val="28"/>
          <w:szCs w:val="28"/>
        </w:rPr>
        <w:t>Harnessing</w:t>
      </w:r>
      <w:proofErr w:type="spellEnd"/>
      <w:r w:rsidRPr="006A715B">
        <w:rPr>
          <w:rFonts w:ascii="Times New Roman" w:hAnsi="Times New Roman" w:cs="Times New Roman"/>
          <w:sz w:val="28"/>
          <w:szCs w:val="28"/>
        </w:rPr>
        <w:t xml:space="preserve"> the </w:t>
      </w:r>
      <w:proofErr w:type="spellStart"/>
      <w:r w:rsidRPr="006A715B">
        <w:rPr>
          <w:rFonts w:ascii="Times New Roman" w:hAnsi="Times New Roman" w:cs="Times New Roman"/>
          <w:sz w:val="28"/>
          <w:szCs w:val="28"/>
        </w:rPr>
        <w:t>Integrity</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Advantage</w:t>
      </w:r>
      <w:proofErr w:type="spellEnd"/>
      <w:r w:rsidRPr="006A715B">
        <w:rPr>
          <w:rFonts w:ascii="Times New Roman" w:hAnsi="Times New Roman" w:cs="Times New Roman"/>
          <w:sz w:val="28"/>
          <w:szCs w:val="28"/>
        </w:rPr>
        <w:t xml:space="preserve">. Paris: OECD Publishing, 2026. DOI: </w:t>
      </w:r>
      <w:hyperlink r:id="rId43" w:history="1">
        <w:r w:rsidRPr="001E4A85">
          <w:rPr>
            <w:rStyle w:val="a4"/>
            <w:rFonts w:ascii="Times New Roman" w:hAnsi="Times New Roman" w:cs="Times New Roman"/>
            <w:sz w:val="28"/>
            <w:szCs w:val="28"/>
          </w:rPr>
          <w:t>https://doi.org/10.1787/16708b78-en</w:t>
        </w:r>
      </w:hyperlink>
    </w:p>
    <w:p w14:paraId="64B4BF8D" w14:textId="77777777" w:rsidR="006A715B" w:rsidRDefault="006A715B" w:rsidP="006A715B">
      <w:pPr>
        <w:pStyle w:val="a3"/>
        <w:numPr>
          <w:ilvl w:val="0"/>
          <w:numId w:val="2"/>
        </w:numPr>
        <w:spacing w:after="0" w:line="360" w:lineRule="auto"/>
        <w:ind w:left="0"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OECD. Огляд </w:t>
      </w:r>
      <w:proofErr w:type="spellStart"/>
      <w:r w:rsidRPr="006A715B">
        <w:rPr>
          <w:rFonts w:ascii="Times New Roman" w:hAnsi="Times New Roman" w:cs="Times New Roman"/>
          <w:sz w:val="28"/>
          <w:szCs w:val="28"/>
        </w:rPr>
        <w:t>антикорупції</w:t>
      </w:r>
      <w:proofErr w:type="spellEnd"/>
      <w:r w:rsidRPr="006A715B">
        <w:rPr>
          <w:rFonts w:ascii="Times New Roman" w:hAnsi="Times New Roman" w:cs="Times New Roman"/>
          <w:sz w:val="28"/>
          <w:szCs w:val="28"/>
        </w:rPr>
        <w:t xml:space="preserve"> та доброчесності 2026: Україна. OECD, 7 травня 2026 р. URL: </w:t>
      </w:r>
      <w:hyperlink r:id="rId44" w:history="1">
        <w:r w:rsidRPr="001E4A85">
          <w:rPr>
            <w:rStyle w:val="a4"/>
            <w:rFonts w:ascii="Times New Roman" w:hAnsi="Times New Roman" w:cs="Times New Roman"/>
            <w:sz w:val="28"/>
            <w:szCs w:val="28"/>
          </w:rPr>
          <w:t>https://www.oecd.org/uk/publications/2026_02b23cc7-uk/690e7191-uk.html</w:t>
        </w:r>
      </w:hyperlink>
      <w:r>
        <w:rPr>
          <w:rFonts w:ascii="Times New Roman" w:hAnsi="Times New Roman" w:cs="Times New Roman"/>
          <w:sz w:val="28"/>
          <w:szCs w:val="28"/>
        </w:rPr>
        <w:t xml:space="preserve"> </w:t>
      </w:r>
      <w:r w:rsidRPr="006A715B">
        <w:rPr>
          <w:rFonts w:ascii="Times New Roman" w:hAnsi="Times New Roman" w:cs="Times New Roman"/>
          <w:sz w:val="28"/>
          <w:szCs w:val="28"/>
        </w:rPr>
        <w:t xml:space="preserve">(дата звернення: </w:t>
      </w:r>
      <w:r>
        <w:rPr>
          <w:rFonts w:ascii="Times New Roman" w:hAnsi="Times New Roman" w:cs="Times New Roman"/>
          <w:sz w:val="28"/>
          <w:szCs w:val="28"/>
        </w:rPr>
        <w:t>11.08.2026</w:t>
      </w:r>
      <w:r w:rsidRPr="006A715B">
        <w:rPr>
          <w:rFonts w:ascii="Times New Roman" w:hAnsi="Times New Roman" w:cs="Times New Roman"/>
          <w:sz w:val="28"/>
          <w:szCs w:val="28"/>
        </w:rPr>
        <w:t>).</w:t>
      </w:r>
    </w:p>
    <w:p w14:paraId="052566FB" w14:textId="77777777" w:rsidR="006A715B" w:rsidRDefault="006A715B" w:rsidP="006A715B">
      <w:pPr>
        <w:pStyle w:val="a3"/>
        <w:numPr>
          <w:ilvl w:val="0"/>
          <w:numId w:val="2"/>
        </w:numPr>
        <w:spacing w:after="0" w:line="360" w:lineRule="auto"/>
        <w:ind w:left="0" w:firstLine="284"/>
        <w:jc w:val="both"/>
        <w:rPr>
          <w:rFonts w:ascii="Times New Roman" w:hAnsi="Times New Roman" w:cs="Times New Roman"/>
          <w:sz w:val="28"/>
          <w:szCs w:val="28"/>
        </w:rPr>
      </w:pPr>
      <w:r w:rsidRPr="006A715B">
        <w:rPr>
          <w:rFonts w:ascii="Times New Roman" w:hAnsi="Times New Roman" w:cs="Times New Roman"/>
          <w:sz w:val="28"/>
          <w:szCs w:val="28"/>
        </w:rPr>
        <w:t xml:space="preserve">European Commission. Commission </w:t>
      </w:r>
      <w:proofErr w:type="spellStart"/>
      <w:r w:rsidRPr="006A715B">
        <w:rPr>
          <w:rFonts w:ascii="Times New Roman" w:hAnsi="Times New Roman" w:cs="Times New Roman"/>
          <w:sz w:val="28"/>
          <w:szCs w:val="28"/>
        </w:rPr>
        <w:t>starts</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enforcing</w:t>
      </w:r>
      <w:proofErr w:type="spellEnd"/>
      <w:r w:rsidRPr="006A715B">
        <w:rPr>
          <w:rFonts w:ascii="Times New Roman" w:hAnsi="Times New Roman" w:cs="Times New Roman"/>
          <w:sz w:val="28"/>
          <w:szCs w:val="28"/>
        </w:rPr>
        <w:t xml:space="preserve"> AI Act </w:t>
      </w:r>
      <w:proofErr w:type="spellStart"/>
      <w:r w:rsidRPr="006A715B">
        <w:rPr>
          <w:rFonts w:ascii="Times New Roman" w:hAnsi="Times New Roman" w:cs="Times New Roman"/>
          <w:sz w:val="28"/>
          <w:szCs w:val="28"/>
        </w:rPr>
        <w:t>rules</w:t>
      </w:r>
      <w:proofErr w:type="spellEnd"/>
      <w:r w:rsidRPr="006A715B">
        <w:rPr>
          <w:rFonts w:ascii="Times New Roman" w:hAnsi="Times New Roman" w:cs="Times New Roman"/>
          <w:sz w:val="28"/>
          <w:szCs w:val="28"/>
        </w:rPr>
        <w:t xml:space="preserve"> and new transparency </w:t>
      </w:r>
      <w:proofErr w:type="spellStart"/>
      <w:r w:rsidRPr="006A715B">
        <w:rPr>
          <w:rFonts w:ascii="Times New Roman" w:hAnsi="Times New Roman" w:cs="Times New Roman"/>
          <w:sz w:val="28"/>
          <w:szCs w:val="28"/>
        </w:rPr>
        <w:t>requirements</w:t>
      </w:r>
      <w:proofErr w:type="spellEnd"/>
      <w:r w:rsidRPr="006A715B">
        <w:rPr>
          <w:rFonts w:ascii="Times New Roman" w:hAnsi="Times New Roman" w:cs="Times New Roman"/>
          <w:sz w:val="28"/>
          <w:szCs w:val="28"/>
        </w:rPr>
        <w:t xml:space="preserve"> on 2 </w:t>
      </w:r>
      <w:proofErr w:type="spellStart"/>
      <w:r w:rsidRPr="006A715B">
        <w:rPr>
          <w:rFonts w:ascii="Times New Roman" w:hAnsi="Times New Roman" w:cs="Times New Roman"/>
          <w:sz w:val="28"/>
          <w:szCs w:val="28"/>
        </w:rPr>
        <w:t>August</w:t>
      </w:r>
      <w:proofErr w:type="spellEnd"/>
      <w:r w:rsidRPr="006A715B">
        <w:rPr>
          <w:rFonts w:ascii="Times New Roman" w:hAnsi="Times New Roman" w:cs="Times New Roman"/>
          <w:sz w:val="28"/>
          <w:szCs w:val="28"/>
        </w:rPr>
        <w:t xml:space="preserve">. </w:t>
      </w:r>
      <w:proofErr w:type="spellStart"/>
      <w:r w:rsidRPr="006A715B">
        <w:rPr>
          <w:rFonts w:ascii="Times New Roman" w:hAnsi="Times New Roman" w:cs="Times New Roman"/>
          <w:sz w:val="28"/>
          <w:szCs w:val="28"/>
        </w:rPr>
        <w:t>Brussels</w:t>
      </w:r>
      <w:proofErr w:type="spellEnd"/>
      <w:r w:rsidRPr="006A715B">
        <w:rPr>
          <w:rFonts w:ascii="Times New Roman" w:hAnsi="Times New Roman" w:cs="Times New Roman"/>
          <w:sz w:val="28"/>
          <w:szCs w:val="28"/>
        </w:rPr>
        <w:t xml:space="preserve">, 31 </w:t>
      </w:r>
      <w:proofErr w:type="spellStart"/>
      <w:r w:rsidRPr="006A715B">
        <w:rPr>
          <w:rFonts w:ascii="Times New Roman" w:hAnsi="Times New Roman" w:cs="Times New Roman"/>
          <w:sz w:val="28"/>
          <w:szCs w:val="28"/>
        </w:rPr>
        <w:t>July</w:t>
      </w:r>
      <w:proofErr w:type="spellEnd"/>
      <w:r w:rsidRPr="006A715B">
        <w:rPr>
          <w:rFonts w:ascii="Times New Roman" w:hAnsi="Times New Roman" w:cs="Times New Roman"/>
          <w:sz w:val="28"/>
          <w:szCs w:val="28"/>
        </w:rPr>
        <w:t xml:space="preserve"> 2026. URL: </w:t>
      </w:r>
      <w:hyperlink r:id="rId45" w:history="1">
        <w:r w:rsidRPr="001E4A85">
          <w:rPr>
            <w:rStyle w:val="a4"/>
            <w:rFonts w:ascii="Times New Roman" w:hAnsi="Times New Roman" w:cs="Times New Roman"/>
            <w:sz w:val="28"/>
            <w:szCs w:val="28"/>
          </w:rPr>
          <w:t>https://ec.europa.eu/commission/presscorner/detail/en/ip_26_1714</w:t>
        </w:r>
      </w:hyperlink>
      <w:r w:rsidRPr="006A715B">
        <w:rPr>
          <w:rFonts w:ascii="Times New Roman" w:hAnsi="Times New Roman" w:cs="Times New Roman"/>
          <w:sz w:val="28"/>
          <w:szCs w:val="28"/>
        </w:rPr>
        <w:t xml:space="preserve"> (дата звернення: </w:t>
      </w:r>
      <w:r>
        <w:rPr>
          <w:rFonts w:ascii="Times New Roman" w:hAnsi="Times New Roman" w:cs="Times New Roman"/>
          <w:sz w:val="28"/>
          <w:szCs w:val="28"/>
        </w:rPr>
        <w:t>11.08.2026</w:t>
      </w:r>
      <w:r w:rsidRPr="006A715B">
        <w:rPr>
          <w:rFonts w:ascii="Times New Roman" w:hAnsi="Times New Roman" w:cs="Times New Roman"/>
          <w:sz w:val="28"/>
          <w:szCs w:val="28"/>
        </w:rPr>
        <w:t>).</w:t>
      </w:r>
    </w:p>
    <w:p w14:paraId="3CDCD9DB" w14:textId="77777777" w:rsidR="00BE3F7F" w:rsidRDefault="006A715B" w:rsidP="00BE3F7F">
      <w:pPr>
        <w:pStyle w:val="a3"/>
        <w:numPr>
          <w:ilvl w:val="0"/>
          <w:numId w:val="2"/>
        </w:numPr>
        <w:spacing w:after="0" w:line="360" w:lineRule="auto"/>
        <w:ind w:left="0" w:firstLine="284"/>
        <w:jc w:val="both"/>
        <w:rPr>
          <w:rFonts w:ascii="Times New Roman" w:hAnsi="Times New Roman" w:cs="Times New Roman"/>
          <w:sz w:val="28"/>
          <w:szCs w:val="28"/>
        </w:rPr>
      </w:pPr>
      <w:proofErr w:type="spellStart"/>
      <w:r w:rsidRPr="006A715B">
        <w:rPr>
          <w:rFonts w:ascii="Times New Roman" w:hAnsi="Times New Roman" w:cs="Times New Roman"/>
          <w:sz w:val="28"/>
          <w:szCs w:val="28"/>
        </w:rPr>
        <w:t>Бузанов</w:t>
      </w:r>
      <w:proofErr w:type="spellEnd"/>
      <w:r w:rsidRPr="006A715B">
        <w:rPr>
          <w:rFonts w:ascii="Times New Roman" w:hAnsi="Times New Roman" w:cs="Times New Roman"/>
          <w:sz w:val="28"/>
          <w:szCs w:val="28"/>
        </w:rPr>
        <w:t xml:space="preserve"> Д. Хто лобіював, до кого ходив, за що платив. Підсумки за I півріччя. Главком. 4 серпня 2026 р. URL: </w:t>
      </w:r>
      <w:hyperlink r:id="rId46" w:history="1">
        <w:r w:rsidRPr="001E4A85">
          <w:rPr>
            <w:rStyle w:val="a4"/>
            <w:rFonts w:ascii="Times New Roman" w:hAnsi="Times New Roman" w:cs="Times New Roman"/>
            <w:sz w:val="28"/>
            <w:szCs w:val="28"/>
          </w:rPr>
          <w:t>https://glavcom.ua/columns/dmytrobyzanov/khto-lobijuvav-do-koho-khodiv-za-shcho-plativ-pidsumki-za-i-pivrichchja-1070758.html</w:t>
        </w:r>
      </w:hyperlink>
      <w:r>
        <w:rPr>
          <w:rFonts w:ascii="Times New Roman" w:hAnsi="Times New Roman" w:cs="Times New Roman"/>
          <w:sz w:val="28"/>
          <w:szCs w:val="28"/>
        </w:rPr>
        <w:t xml:space="preserve"> </w:t>
      </w:r>
      <w:r w:rsidRPr="006A715B">
        <w:rPr>
          <w:rFonts w:ascii="Times New Roman" w:hAnsi="Times New Roman" w:cs="Times New Roman"/>
          <w:sz w:val="28"/>
          <w:szCs w:val="28"/>
        </w:rPr>
        <w:t xml:space="preserve">(дата звернення: </w:t>
      </w:r>
      <w:r>
        <w:rPr>
          <w:rFonts w:ascii="Times New Roman" w:hAnsi="Times New Roman" w:cs="Times New Roman"/>
          <w:sz w:val="28"/>
          <w:szCs w:val="28"/>
        </w:rPr>
        <w:t>11.08.2026</w:t>
      </w:r>
      <w:r w:rsidRPr="006A715B">
        <w:rPr>
          <w:rFonts w:ascii="Times New Roman" w:hAnsi="Times New Roman" w:cs="Times New Roman"/>
          <w:sz w:val="28"/>
          <w:szCs w:val="28"/>
        </w:rPr>
        <w:t>).</w:t>
      </w:r>
    </w:p>
    <w:p w14:paraId="0EB8644F" w14:textId="77777777" w:rsidR="00BE3F7F" w:rsidRDefault="00BE3F7F" w:rsidP="00BE3F7F">
      <w:pPr>
        <w:pStyle w:val="a3"/>
        <w:numPr>
          <w:ilvl w:val="0"/>
          <w:numId w:val="2"/>
        </w:numPr>
        <w:spacing w:after="0" w:line="360" w:lineRule="auto"/>
        <w:ind w:left="0" w:firstLine="284"/>
        <w:jc w:val="both"/>
        <w:rPr>
          <w:rFonts w:ascii="Times New Roman" w:hAnsi="Times New Roman" w:cs="Times New Roman"/>
          <w:sz w:val="28"/>
          <w:szCs w:val="28"/>
        </w:rPr>
      </w:pPr>
      <w:r w:rsidRPr="00BE3F7F">
        <w:rPr>
          <w:rFonts w:ascii="Times New Roman" w:hAnsi="Times New Roman" w:cs="Times New Roman"/>
          <w:sz w:val="28"/>
          <w:szCs w:val="28"/>
        </w:rPr>
        <w:t xml:space="preserve">Нестерович В. Ф. Конституційно-правові засади інституту лобіювання: зарубіжний досвід та перспективи для України : монографія. Луганськ : РВВ Луганського державного університету внутрішніх справ імені Е. О. Дідоренка, 2010. 752 с. ISBN 978-966-2905-76-2. URL: </w:t>
      </w:r>
      <w:hyperlink r:id="rId47" w:history="1">
        <w:r w:rsidRPr="001142A8">
          <w:rPr>
            <w:rStyle w:val="a4"/>
            <w:rFonts w:ascii="Times New Roman" w:hAnsi="Times New Roman" w:cs="Times New Roman"/>
            <w:sz w:val="28"/>
            <w:szCs w:val="28"/>
          </w:rPr>
          <w:t>https://d1wqtxts1xzle7.cloudfront.net/58517114/Монографія_short.pdf</w:t>
        </w:r>
      </w:hyperlink>
      <w:r>
        <w:rPr>
          <w:rFonts w:ascii="Times New Roman" w:hAnsi="Times New Roman" w:cs="Times New Roman"/>
          <w:sz w:val="28"/>
          <w:szCs w:val="28"/>
        </w:rPr>
        <w:t xml:space="preserve"> </w:t>
      </w:r>
      <w:r w:rsidRPr="00BE3F7F">
        <w:rPr>
          <w:rFonts w:ascii="Times New Roman" w:hAnsi="Times New Roman" w:cs="Times New Roman"/>
          <w:sz w:val="28"/>
          <w:szCs w:val="28"/>
        </w:rPr>
        <w:t xml:space="preserve">(дата звернення: </w:t>
      </w:r>
      <w:r>
        <w:rPr>
          <w:rFonts w:ascii="Times New Roman" w:hAnsi="Times New Roman" w:cs="Times New Roman"/>
          <w:sz w:val="28"/>
          <w:szCs w:val="28"/>
        </w:rPr>
        <w:t>11</w:t>
      </w:r>
      <w:r w:rsidRPr="00BE3F7F">
        <w:rPr>
          <w:rFonts w:ascii="Times New Roman" w:hAnsi="Times New Roman" w:cs="Times New Roman"/>
          <w:sz w:val="28"/>
          <w:szCs w:val="28"/>
        </w:rPr>
        <w:t>.08.2026).</w:t>
      </w:r>
    </w:p>
    <w:p w14:paraId="0B6A1331" w14:textId="77777777" w:rsidR="00BE3F7F" w:rsidRDefault="00BE3F7F" w:rsidP="00BE3F7F">
      <w:pPr>
        <w:pStyle w:val="a3"/>
        <w:numPr>
          <w:ilvl w:val="0"/>
          <w:numId w:val="2"/>
        </w:numPr>
        <w:spacing w:after="0" w:line="360" w:lineRule="auto"/>
        <w:ind w:left="0" w:firstLine="284"/>
        <w:jc w:val="both"/>
        <w:rPr>
          <w:rFonts w:ascii="Times New Roman" w:hAnsi="Times New Roman" w:cs="Times New Roman"/>
          <w:sz w:val="28"/>
          <w:szCs w:val="28"/>
        </w:rPr>
      </w:pPr>
      <w:r w:rsidRPr="00BE3F7F">
        <w:rPr>
          <w:rFonts w:ascii="Times New Roman" w:hAnsi="Times New Roman" w:cs="Times New Roman"/>
          <w:sz w:val="28"/>
          <w:szCs w:val="28"/>
        </w:rPr>
        <w:t xml:space="preserve">Нестерович В. Ф. Легітимація лобіювання в Україні: від ідеї до закону. Вісник Луганського державного університету внутрішніх справ імені Е. О. Дідоренка. 2015. № 4. С. 36–46. URL: </w:t>
      </w:r>
      <w:hyperlink r:id="rId48" w:history="1">
        <w:r w:rsidRPr="001142A8">
          <w:rPr>
            <w:rStyle w:val="a4"/>
            <w:rFonts w:ascii="Times New Roman" w:hAnsi="Times New Roman" w:cs="Times New Roman"/>
            <w:sz w:val="28"/>
            <w:szCs w:val="28"/>
          </w:rPr>
          <w:t>https://irbis-nbuv.gov.ua/cgi-bin/irbis_nbuv/cgiirbis_64.exe?C21COM=2&amp;I21DBN=UJRN&amp;IMAGE_FILE_DOWNLOAD=1&amp;Image_file_name=PDF/Vlduvs_2015_4_6.pdf&amp;P21DBN=UJRN</w:t>
        </w:r>
      </w:hyperlink>
      <w:r>
        <w:rPr>
          <w:rFonts w:ascii="Times New Roman" w:hAnsi="Times New Roman" w:cs="Times New Roman"/>
          <w:sz w:val="28"/>
          <w:szCs w:val="28"/>
        </w:rPr>
        <w:t xml:space="preserve"> </w:t>
      </w:r>
      <w:r w:rsidRPr="00BE3F7F">
        <w:rPr>
          <w:rFonts w:ascii="Times New Roman" w:hAnsi="Times New Roman" w:cs="Times New Roman"/>
          <w:sz w:val="28"/>
          <w:szCs w:val="28"/>
        </w:rPr>
        <w:t xml:space="preserve">(дата звернення: </w:t>
      </w:r>
      <w:r>
        <w:rPr>
          <w:rFonts w:ascii="Times New Roman" w:hAnsi="Times New Roman" w:cs="Times New Roman"/>
          <w:sz w:val="28"/>
          <w:szCs w:val="28"/>
        </w:rPr>
        <w:t>11</w:t>
      </w:r>
      <w:r w:rsidRPr="00BE3F7F">
        <w:rPr>
          <w:rFonts w:ascii="Times New Roman" w:hAnsi="Times New Roman" w:cs="Times New Roman"/>
          <w:sz w:val="28"/>
          <w:szCs w:val="28"/>
        </w:rPr>
        <w:t>.08.2026).</w:t>
      </w:r>
    </w:p>
    <w:p w14:paraId="0BE93952" w14:textId="77777777" w:rsidR="00BE3F7F" w:rsidRDefault="00BE3F7F" w:rsidP="00BE3F7F">
      <w:pPr>
        <w:pStyle w:val="a3"/>
        <w:numPr>
          <w:ilvl w:val="0"/>
          <w:numId w:val="2"/>
        </w:numPr>
        <w:spacing w:after="0" w:line="360" w:lineRule="auto"/>
        <w:ind w:left="0" w:firstLine="284"/>
        <w:jc w:val="both"/>
        <w:rPr>
          <w:rFonts w:ascii="Times New Roman" w:hAnsi="Times New Roman" w:cs="Times New Roman"/>
          <w:sz w:val="28"/>
          <w:szCs w:val="28"/>
        </w:rPr>
      </w:pPr>
      <w:r w:rsidRPr="00BE3F7F">
        <w:rPr>
          <w:rFonts w:ascii="Times New Roman" w:hAnsi="Times New Roman" w:cs="Times New Roman"/>
          <w:sz w:val="28"/>
          <w:szCs w:val="28"/>
        </w:rPr>
        <w:t xml:space="preserve">Нестерович В. Ф. Тенденції щодо конституційно-правового регулювання лобіювання у Великій Британії та Ірландії. Вісник Луганського державного </w:t>
      </w:r>
      <w:r w:rsidRPr="00BE3F7F">
        <w:rPr>
          <w:rFonts w:ascii="Times New Roman" w:hAnsi="Times New Roman" w:cs="Times New Roman"/>
          <w:sz w:val="28"/>
          <w:szCs w:val="28"/>
        </w:rPr>
        <w:lastRenderedPageBreak/>
        <w:t xml:space="preserve">університету внутрішніх справ імені Е. О. Дідоренка. 2015. № 3. С. 28–37. URL: </w:t>
      </w:r>
      <w:hyperlink r:id="rId49" w:history="1">
        <w:r w:rsidRPr="00BE3F7F">
          <w:rPr>
            <w:rStyle w:val="a4"/>
            <w:rFonts w:ascii="Times New Roman" w:hAnsi="Times New Roman" w:cs="Times New Roman"/>
            <w:sz w:val="28"/>
            <w:szCs w:val="28"/>
          </w:rPr>
          <w:t>https://irbis-nbuv.gov.ua/cgi-bin/irbis_nbuv/cgiirbis_64.exe?C21COM=2&amp;I21DBN=UJRN&amp;IMAGE_FILE_DOWNLOAD=1&amp;Image_file_name=PDF/Vlduvs_2015_3_6.pdf&amp;P21DBN=UJRN</w:t>
        </w:r>
      </w:hyperlink>
      <w:r w:rsidRPr="00BE3F7F">
        <w:rPr>
          <w:rFonts w:ascii="Times New Roman" w:hAnsi="Times New Roman" w:cs="Times New Roman"/>
          <w:sz w:val="28"/>
          <w:szCs w:val="28"/>
        </w:rPr>
        <w:t xml:space="preserve"> (дата звернення: </w:t>
      </w:r>
      <w:r w:rsidRPr="00BE3F7F">
        <w:rPr>
          <w:rFonts w:ascii="Times New Roman" w:hAnsi="Times New Roman" w:cs="Times New Roman"/>
          <w:sz w:val="28"/>
          <w:szCs w:val="28"/>
        </w:rPr>
        <w:t>11</w:t>
      </w:r>
      <w:r w:rsidRPr="00BE3F7F">
        <w:rPr>
          <w:rFonts w:ascii="Times New Roman" w:hAnsi="Times New Roman" w:cs="Times New Roman"/>
          <w:sz w:val="28"/>
          <w:szCs w:val="28"/>
        </w:rPr>
        <w:t>.08.2026).</w:t>
      </w:r>
    </w:p>
    <w:p w14:paraId="7F2D3010" w14:textId="77777777" w:rsidR="00BE3F7F" w:rsidRDefault="00BE3F7F" w:rsidP="00BE3F7F">
      <w:pPr>
        <w:pStyle w:val="a3"/>
        <w:numPr>
          <w:ilvl w:val="0"/>
          <w:numId w:val="2"/>
        </w:numPr>
        <w:spacing w:after="0" w:line="360" w:lineRule="auto"/>
        <w:ind w:left="0" w:firstLine="284"/>
        <w:jc w:val="both"/>
        <w:rPr>
          <w:rFonts w:ascii="Times New Roman" w:hAnsi="Times New Roman" w:cs="Times New Roman"/>
          <w:sz w:val="28"/>
          <w:szCs w:val="28"/>
        </w:rPr>
      </w:pPr>
      <w:r w:rsidRPr="00BE3F7F">
        <w:rPr>
          <w:rFonts w:ascii="Times New Roman" w:hAnsi="Times New Roman" w:cs="Times New Roman"/>
          <w:sz w:val="28"/>
          <w:szCs w:val="28"/>
        </w:rPr>
        <w:t xml:space="preserve">Нестерович В. Основні тренди в законодавчому регулюванні лобіювання у країнах Західної Європи. Історико-правовий часопис. 2015. № 2 (6). С. 47–54. URL: </w:t>
      </w:r>
      <w:hyperlink r:id="rId50" w:history="1">
        <w:r w:rsidRPr="001142A8">
          <w:rPr>
            <w:rStyle w:val="a4"/>
            <w:rFonts w:ascii="Times New Roman" w:hAnsi="Times New Roman" w:cs="Times New Roman"/>
            <w:sz w:val="28"/>
            <w:szCs w:val="28"/>
          </w:rPr>
          <w:t>http://www.chasopys.hl.vnu.volyn.ua/index.php/chasopys/article/download/459/430/904</w:t>
        </w:r>
      </w:hyperlink>
      <w:r>
        <w:rPr>
          <w:rFonts w:ascii="Times New Roman" w:hAnsi="Times New Roman" w:cs="Times New Roman"/>
          <w:sz w:val="28"/>
          <w:szCs w:val="28"/>
        </w:rPr>
        <w:t xml:space="preserve"> </w:t>
      </w:r>
      <w:r w:rsidRPr="00BE3F7F">
        <w:rPr>
          <w:rFonts w:ascii="Times New Roman" w:hAnsi="Times New Roman" w:cs="Times New Roman"/>
          <w:sz w:val="28"/>
          <w:szCs w:val="28"/>
        </w:rPr>
        <w:t xml:space="preserve">(дата звернення: </w:t>
      </w:r>
      <w:r>
        <w:rPr>
          <w:rFonts w:ascii="Times New Roman" w:hAnsi="Times New Roman" w:cs="Times New Roman"/>
          <w:sz w:val="28"/>
          <w:szCs w:val="28"/>
        </w:rPr>
        <w:t>11</w:t>
      </w:r>
      <w:r w:rsidRPr="00BE3F7F">
        <w:rPr>
          <w:rFonts w:ascii="Times New Roman" w:hAnsi="Times New Roman" w:cs="Times New Roman"/>
          <w:sz w:val="28"/>
          <w:szCs w:val="28"/>
        </w:rPr>
        <w:t>.08.2026).</w:t>
      </w:r>
    </w:p>
    <w:p w14:paraId="15FFC066" w14:textId="77777777" w:rsidR="00BE3F7F" w:rsidRDefault="00BE3F7F" w:rsidP="00BE3F7F">
      <w:pPr>
        <w:pStyle w:val="a3"/>
        <w:numPr>
          <w:ilvl w:val="0"/>
          <w:numId w:val="2"/>
        </w:numPr>
        <w:spacing w:after="0" w:line="360" w:lineRule="auto"/>
        <w:ind w:left="0" w:firstLine="284"/>
        <w:jc w:val="both"/>
        <w:rPr>
          <w:rFonts w:ascii="Times New Roman" w:hAnsi="Times New Roman" w:cs="Times New Roman"/>
          <w:sz w:val="28"/>
          <w:szCs w:val="28"/>
        </w:rPr>
      </w:pPr>
      <w:r w:rsidRPr="00BE3F7F">
        <w:rPr>
          <w:rFonts w:ascii="Times New Roman" w:hAnsi="Times New Roman" w:cs="Times New Roman"/>
          <w:sz w:val="28"/>
          <w:szCs w:val="28"/>
        </w:rPr>
        <w:t xml:space="preserve">Базілевич Д. Вплив на владу </w:t>
      </w:r>
      <w:r w:rsidRPr="00BE3F7F">
        <w:rPr>
          <w:rFonts w:ascii="Times New Roman" w:hAnsi="Times New Roman" w:cs="Times New Roman"/>
          <w:sz w:val="28"/>
          <w:szCs w:val="28"/>
        </w:rPr>
        <w:t>-</w:t>
      </w:r>
      <w:r w:rsidRPr="00BE3F7F">
        <w:rPr>
          <w:rFonts w:ascii="Times New Roman" w:hAnsi="Times New Roman" w:cs="Times New Roman"/>
          <w:sz w:val="28"/>
          <w:szCs w:val="28"/>
        </w:rPr>
        <w:t xml:space="preserve"> наше право чи обов’язок? Економічна правда. 15 червня 2021 р. URL: </w:t>
      </w:r>
      <w:hyperlink r:id="rId51" w:history="1">
        <w:r w:rsidRPr="00BE3F7F">
          <w:rPr>
            <w:rStyle w:val="a4"/>
            <w:rFonts w:ascii="Times New Roman" w:hAnsi="Times New Roman" w:cs="Times New Roman"/>
            <w:sz w:val="28"/>
            <w:szCs w:val="28"/>
          </w:rPr>
          <w:t>https://epravda.com.ua/columns/2021/06/15/674780</w:t>
        </w:r>
      </w:hyperlink>
      <w:r w:rsidRPr="00BE3F7F">
        <w:rPr>
          <w:rFonts w:ascii="Times New Roman" w:hAnsi="Times New Roman" w:cs="Times New Roman"/>
          <w:sz w:val="28"/>
          <w:szCs w:val="28"/>
        </w:rPr>
        <w:t xml:space="preserve"> </w:t>
      </w:r>
      <w:r w:rsidRPr="00BE3F7F">
        <w:rPr>
          <w:rFonts w:ascii="Times New Roman" w:hAnsi="Times New Roman" w:cs="Times New Roman"/>
          <w:sz w:val="28"/>
          <w:szCs w:val="28"/>
        </w:rPr>
        <w:t xml:space="preserve">(дата звернення: </w:t>
      </w:r>
      <w:r w:rsidRPr="00BE3F7F">
        <w:rPr>
          <w:rFonts w:ascii="Times New Roman" w:hAnsi="Times New Roman" w:cs="Times New Roman"/>
          <w:sz w:val="28"/>
          <w:szCs w:val="28"/>
        </w:rPr>
        <w:t>11</w:t>
      </w:r>
      <w:r w:rsidRPr="00BE3F7F">
        <w:rPr>
          <w:rFonts w:ascii="Times New Roman" w:hAnsi="Times New Roman" w:cs="Times New Roman"/>
          <w:sz w:val="28"/>
          <w:szCs w:val="28"/>
        </w:rPr>
        <w:t>.08.2026).</w:t>
      </w:r>
    </w:p>
    <w:p w14:paraId="3BD20959" w14:textId="06485CA6" w:rsidR="00BE3F7F" w:rsidRPr="00BE3F7F" w:rsidRDefault="00BE3F7F" w:rsidP="003938EB">
      <w:pPr>
        <w:pStyle w:val="a3"/>
        <w:numPr>
          <w:ilvl w:val="0"/>
          <w:numId w:val="2"/>
        </w:numPr>
        <w:spacing w:after="0" w:line="360" w:lineRule="auto"/>
        <w:ind w:left="0" w:firstLine="284"/>
        <w:jc w:val="both"/>
        <w:rPr>
          <w:rFonts w:ascii="Times New Roman" w:hAnsi="Times New Roman" w:cs="Times New Roman"/>
          <w:sz w:val="28"/>
          <w:szCs w:val="28"/>
        </w:rPr>
      </w:pPr>
      <w:r w:rsidRPr="00BE3F7F">
        <w:rPr>
          <w:rFonts w:ascii="Times New Roman" w:hAnsi="Times New Roman" w:cs="Times New Roman"/>
          <w:sz w:val="28"/>
          <w:szCs w:val="28"/>
        </w:rPr>
        <w:t xml:space="preserve">Базілевич Д. Кампанія з адвокації як інструмент впливу на політику щодо малого та середнього бізнесу : навчально-методичний матеріал, підготовлений у межах програми USAID «Лідерство в економічному врядуванні». </w:t>
      </w:r>
      <w:r w:rsidR="00F24616">
        <w:rPr>
          <w:rFonts w:ascii="Times New Roman" w:hAnsi="Times New Roman" w:cs="Times New Roman"/>
          <w:sz w:val="28"/>
          <w:szCs w:val="28"/>
        </w:rPr>
        <w:t xml:space="preserve">Київ, 2016. </w:t>
      </w:r>
      <w:r w:rsidRPr="00BE3F7F">
        <w:rPr>
          <w:rFonts w:ascii="Times New Roman" w:hAnsi="Times New Roman" w:cs="Times New Roman"/>
          <w:sz w:val="28"/>
          <w:szCs w:val="28"/>
        </w:rPr>
        <w:t xml:space="preserve">URL: </w:t>
      </w:r>
      <w:hyperlink r:id="rId52" w:history="1">
        <w:r w:rsidRPr="00BE3F7F">
          <w:rPr>
            <w:rStyle w:val="a4"/>
            <w:rFonts w:ascii="Times New Roman" w:hAnsi="Times New Roman" w:cs="Times New Roman"/>
            <w:sz w:val="28"/>
            <w:szCs w:val="28"/>
          </w:rPr>
          <w:t>https://www.slideshare.net/slideshow/ss-73470327/73470327</w:t>
        </w:r>
      </w:hyperlink>
      <w:r w:rsidRPr="00BE3F7F">
        <w:rPr>
          <w:rFonts w:ascii="Times New Roman" w:hAnsi="Times New Roman" w:cs="Times New Roman"/>
          <w:sz w:val="28"/>
          <w:szCs w:val="28"/>
        </w:rPr>
        <w:t xml:space="preserve"> </w:t>
      </w:r>
      <w:r w:rsidRPr="00BE3F7F">
        <w:rPr>
          <w:rFonts w:ascii="Times New Roman" w:hAnsi="Times New Roman" w:cs="Times New Roman"/>
          <w:sz w:val="28"/>
          <w:szCs w:val="28"/>
        </w:rPr>
        <w:t xml:space="preserve">(дата звернення: </w:t>
      </w:r>
      <w:r w:rsidRPr="00BE3F7F">
        <w:rPr>
          <w:rFonts w:ascii="Times New Roman" w:hAnsi="Times New Roman" w:cs="Times New Roman"/>
          <w:sz w:val="28"/>
          <w:szCs w:val="28"/>
        </w:rPr>
        <w:t>11</w:t>
      </w:r>
      <w:r w:rsidRPr="00BE3F7F">
        <w:rPr>
          <w:rFonts w:ascii="Times New Roman" w:hAnsi="Times New Roman" w:cs="Times New Roman"/>
          <w:sz w:val="28"/>
          <w:szCs w:val="28"/>
        </w:rPr>
        <w:t>.08.2026).</w:t>
      </w:r>
    </w:p>
    <w:sectPr w:rsidR="00BE3F7F" w:rsidRPr="00BE3F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F26"/>
    <w:multiLevelType w:val="hybridMultilevel"/>
    <w:tmpl w:val="3DA2F6A0"/>
    <w:lvl w:ilvl="0" w:tplc="F4C000F0">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C95D6A"/>
    <w:multiLevelType w:val="hybridMultilevel"/>
    <w:tmpl w:val="E56E53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19716D5"/>
    <w:multiLevelType w:val="hybridMultilevel"/>
    <w:tmpl w:val="1B52997C"/>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 w15:restartNumberingAfterBreak="0">
    <w:nsid w:val="6683071E"/>
    <w:multiLevelType w:val="hybridMultilevel"/>
    <w:tmpl w:val="8F10C46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6CA54276"/>
    <w:multiLevelType w:val="hybridMultilevel"/>
    <w:tmpl w:val="26A85C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B925B24"/>
    <w:multiLevelType w:val="hybridMultilevel"/>
    <w:tmpl w:val="7FBCB1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47202619">
    <w:abstractNumId w:val="5"/>
  </w:num>
  <w:num w:numId="2" w16cid:durableId="2017807556">
    <w:abstractNumId w:val="4"/>
  </w:num>
  <w:num w:numId="3" w16cid:durableId="451629249">
    <w:abstractNumId w:val="1"/>
  </w:num>
  <w:num w:numId="4" w16cid:durableId="1394037203">
    <w:abstractNumId w:val="0"/>
  </w:num>
  <w:num w:numId="5" w16cid:durableId="1203831104">
    <w:abstractNumId w:val="2"/>
  </w:num>
  <w:num w:numId="6" w16cid:durableId="674116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047"/>
    <w:rsid w:val="0004240B"/>
    <w:rsid w:val="00144DD4"/>
    <w:rsid w:val="001C7B0D"/>
    <w:rsid w:val="001E6B12"/>
    <w:rsid w:val="001F6176"/>
    <w:rsid w:val="002653D0"/>
    <w:rsid w:val="00307425"/>
    <w:rsid w:val="003078A6"/>
    <w:rsid w:val="00423D2D"/>
    <w:rsid w:val="0042571C"/>
    <w:rsid w:val="0048251B"/>
    <w:rsid w:val="004D71C7"/>
    <w:rsid w:val="00507439"/>
    <w:rsid w:val="00546681"/>
    <w:rsid w:val="00577A1F"/>
    <w:rsid w:val="006669B1"/>
    <w:rsid w:val="006A715B"/>
    <w:rsid w:val="006D7657"/>
    <w:rsid w:val="00751402"/>
    <w:rsid w:val="007A1EF0"/>
    <w:rsid w:val="007B3942"/>
    <w:rsid w:val="007E01EB"/>
    <w:rsid w:val="008468D0"/>
    <w:rsid w:val="008F6E25"/>
    <w:rsid w:val="009036B9"/>
    <w:rsid w:val="009B1D26"/>
    <w:rsid w:val="00A170DF"/>
    <w:rsid w:val="00A41623"/>
    <w:rsid w:val="00A51089"/>
    <w:rsid w:val="00A83086"/>
    <w:rsid w:val="00B65274"/>
    <w:rsid w:val="00B838ED"/>
    <w:rsid w:val="00BA5829"/>
    <w:rsid w:val="00BE3F7F"/>
    <w:rsid w:val="00BE5047"/>
    <w:rsid w:val="00C116BB"/>
    <w:rsid w:val="00CA6075"/>
    <w:rsid w:val="00D5300A"/>
    <w:rsid w:val="00D87721"/>
    <w:rsid w:val="00DD6F81"/>
    <w:rsid w:val="00E05949"/>
    <w:rsid w:val="00E33646"/>
    <w:rsid w:val="00E85680"/>
    <w:rsid w:val="00EF5B80"/>
    <w:rsid w:val="00F246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0E3D6"/>
  <w15:chartTrackingRefBased/>
  <w15:docId w15:val="{88620501-90DD-4402-984A-1EC5131E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9B1"/>
    <w:pPr>
      <w:ind w:left="720"/>
      <w:contextualSpacing/>
    </w:pPr>
  </w:style>
  <w:style w:type="character" w:styleId="a4">
    <w:name w:val="Hyperlink"/>
    <w:basedOn w:val="a0"/>
    <w:uiPriority w:val="99"/>
    <w:unhideWhenUsed/>
    <w:rsid w:val="001F6176"/>
    <w:rPr>
      <w:color w:val="0563C1" w:themeColor="hyperlink"/>
      <w:u w:val="single"/>
    </w:rPr>
  </w:style>
  <w:style w:type="character" w:styleId="a5">
    <w:name w:val="FollowedHyperlink"/>
    <w:basedOn w:val="a0"/>
    <w:uiPriority w:val="99"/>
    <w:semiHidden/>
    <w:unhideWhenUsed/>
    <w:rsid w:val="0048251B"/>
    <w:rPr>
      <w:color w:val="954F72" w:themeColor="followedHyperlink"/>
      <w:u w:val="single"/>
    </w:rPr>
  </w:style>
  <w:style w:type="character" w:styleId="a6">
    <w:name w:val="Unresolved Mention"/>
    <w:basedOn w:val="a0"/>
    <w:uiPriority w:val="99"/>
    <w:semiHidden/>
    <w:unhideWhenUsed/>
    <w:rsid w:val="00BE3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4520">
      <w:bodyDiv w:val="1"/>
      <w:marLeft w:val="0"/>
      <w:marRight w:val="0"/>
      <w:marTop w:val="0"/>
      <w:marBottom w:val="0"/>
      <w:divBdr>
        <w:top w:val="none" w:sz="0" w:space="0" w:color="auto"/>
        <w:left w:val="none" w:sz="0" w:space="0" w:color="auto"/>
        <w:bottom w:val="none" w:sz="0" w:space="0" w:color="auto"/>
        <w:right w:val="none" w:sz="0" w:space="0" w:color="auto"/>
      </w:divBdr>
    </w:div>
    <w:div w:id="521818014">
      <w:bodyDiv w:val="1"/>
      <w:marLeft w:val="0"/>
      <w:marRight w:val="0"/>
      <w:marTop w:val="0"/>
      <w:marBottom w:val="0"/>
      <w:divBdr>
        <w:top w:val="none" w:sz="0" w:space="0" w:color="auto"/>
        <w:left w:val="none" w:sz="0" w:space="0" w:color="auto"/>
        <w:bottom w:val="none" w:sz="0" w:space="0" w:color="auto"/>
        <w:right w:val="none" w:sz="0" w:space="0" w:color="auto"/>
      </w:divBdr>
    </w:div>
    <w:div w:id="1054423881">
      <w:bodyDiv w:val="1"/>
      <w:marLeft w:val="0"/>
      <w:marRight w:val="0"/>
      <w:marTop w:val="0"/>
      <w:marBottom w:val="0"/>
      <w:divBdr>
        <w:top w:val="none" w:sz="0" w:space="0" w:color="auto"/>
        <w:left w:val="none" w:sz="0" w:space="0" w:color="auto"/>
        <w:bottom w:val="none" w:sz="0" w:space="0" w:color="auto"/>
        <w:right w:val="none" w:sz="0" w:space="0" w:color="auto"/>
      </w:divBdr>
    </w:div>
    <w:div w:id="1176730268">
      <w:bodyDiv w:val="1"/>
      <w:marLeft w:val="0"/>
      <w:marRight w:val="0"/>
      <w:marTop w:val="0"/>
      <w:marBottom w:val="0"/>
      <w:divBdr>
        <w:top w:val="none" w:sz="0" w:space="0" w:color="auto"/>
        <w:left w:val="none" w:sz="0" w:space="0" w:color="auto"/>
        <w:bottom w:val="none" w:sz="0" w:space="0" w:color="auto"/>
        <w:right w:val="none" w:sz="0" w:space="0" w:color="auto"/>
      </w:divBdr>
    </w:div>
    <w:div w:id="1346638653">
      <w:bodyDiv w:val="1"/>
      <w:marLeft w:val="0"/>
      <w:marRight w:val="0"/>
      <w:marTop w:val="0"/>
      <w:marBottom w:val="0"/>
      <w:divBdr>
        <w:top w:val="none" w:sz="0" w:space="0" w:color="auto"/>
        <w:left w:val="none" w:sz="0" w:space="0" w:color="auto"/>
        <w:bottom w:val="none" w:sz="0" w:space="0" w:color="auto"/>
        <w:right w:val="none" w:sz="0" w:space="0" w:color="auto"/>
      </w:divBdr>
    </w:div>
    <w:div w:id="1380786776">
      <w:bodyDiv w:val="1"/>
      <w:marLeft w:val="0"/>
      <w:marRight w:val="0"/>
      <w:marTop w:val="0"/>
      <w:marBottom w:val="0"/>
      <w:divBdr>
        <w:top w:val="none" w:sz="0" w:space="0" w:color="auto"/>
        <w:left w:val="none" w:sz="0" w:space="0" w:color="auto"/>
        <w:bottom w:val="none" w:sz="0" w:space="0" w:color="auto"/>
        <w:right w:val="none" w:sz="0" w:space="0" w:color="auto"/>
      </w:divBdr>
    </w:div>
    <w:div w:id="1399592647">
      <w:bodyDiv w:val="1"/>
      <w:marLeft w:val="0"/>
      <w:marRight w:val="0"/>
      <w:marTop w:val="0"/>
      <w:marBottom w:val="0"/>
      <w:divBdr>
        <w:top w:val="none" w:sz="0" w:space="0" w:color="auto"/>
        <w:left w:val="none" w:sz="0" w:space="0" w:color="auto"/>
        <w:bottom w:val="none" w:sz="0" w:space="0" w:color="auto"/>
        <w:right w:val="none" w:sz="0" w:space="0" w:color="auto"/>
      </w:divBdr>
    </w:div>
    <w:div w:id="1740249529">
      <w:bodyDiv w:val="1"/>
      <w:marLeft w:val="0"/>
      <w:marRight w:val="0"/>
      <w:marTop w:val="0"/>
      <w:marBottom w:val="0"/>
      <w:divBdr>
        <w:top w:val="none" w:sz="0" w:space="0" w:color="auto"/>
        <w:left w:val="none" w:sz="0" w:space="0" w:color="auto"/>
        <w:bottom w:val="none" w:sz="0" w:space="0" w:color="auto"/>
        <w:right w:val="none" w:sz="0" w:space="0" w:color="auto"/>
      </w:divBdr>
    </w:div>
    <w:div w:id="1847288109">
      <w:bodyDiv w:val="1"/>
      <w:marLeft w:val="0"/>
      <w:marRight w:val="0"/>
      <w:marTop w:val="0"/>
      <w:marBottom w:val="0"/>
      <w:divBdr>
        <w:top w:val="none" w:sz="0" w:space="0" w:color="auto"/>
        <w:left w:val="none" w:sz="0" w:space="0" w:color="auto"/>
        <w:bottom w:val="none" w:sz="0" w:space="0" w:color="auto"/>
        <w:right w:val="none" w:sz="0" w:space="0" w:color="auto"/>
      </w:divBdr>
    </w:div>
    <w:div w:id="2042321348">
      <w:bodyDiv w:val="1"/>
      <w:marLeft w:val="0"/>
      <w:marRight w:val="0"/>
      <w:marTop w:val="0"/>
      <w:marBottom w:val="0"/>
      <w:divBdr>
        <w:top w:val="none" w:sz="0" w:space="0" w:color="auto"/>
        <w:left w:val="none" w:sz="0" w:space="0" w:color="auto"/>
        <w:bottom w:val="none" w:sz="0" w:space="0" w:color="auto"/>
        <w:right w:val="none" w:sz="0" w:space="0" w:color="auto"/>
      </w:divBdr>
    </w:div>
    <w:div w:id="2042513694">
      <w:bodyDiv w:val="1"/>
      <w:marLeft w:val="0"/>
      <w:marRight w:val="0"/>
      <w:marTop w:val="0"/>
      <w:marBottom w:val="0"/>
      <w:divBdr>
        <w:top w:val="none" w:sz="0" w:space="0" w:color="auto"/>
        <w:left w:val="none" w:sz="0" w:space="0" w:color="auto"/>
        <w:bottom w:val="none" w:sz="0" w:space="0" w:color="auto"/>
        <w:right w:val="none" w:sz="0" w:space="0" w:color="auto"/>
      </w:divBdr>
      <w:divsChild>
        <w:div w:id="874075299">
          <w:marLeft w:val="0"/>
          <w:marRight w:val="0"/>
          <w:marTop w:val="0"/>
          <w:marBottom w:val="0"/>
          <w:divBdr>
            <w:top w:val="none" w:sz="0" w:space="0" w:color="auto"/>
            <w:left w:val="none" w:sz="0" w:space="0" w:color="auto"/>
            <w:bottom w:val="none" w:sz="0" w:space="0" w:color="auto"/>
            <w:right w:val="none" w:sz="0" w:space="0" w:color="auto"/>
          </w:divBdr>
        </w:div>
        <w:div w:id="163782226">
          <w:marLeft w:val="0"/>
          <w:marRight w:val="0"/>
          <w:marTop w:val="0"/>
          <w:marBottom w:val="0"/>
          <w:divBdr>
            <w:top w:val="none" w:sz="0" w:space="0" w:color="auto"/>
            <w:left w:val="none" w:sz="0" w:space="0" w:color="auto"/>
            <w:bottom w:val="none" w:sz="0" w:space="0" w:color="auto"/>
            <w:right w:val="none" w:sz="0" w:space="0" w:color="auto"/>
          </w:divBdr>
        </w:div>
        <w:div w:id="1082869074">
          <w:marLeft w:val="0"/>
          <w:marRight w:val="0"/>
          <w:marTop w:val="0"/>
          <w:marBottom w:val="0"/>
          <w:divBdr>
            <w:top w:val="none" w:sz="0" w:space="0" w:color="auto"/>
            <w:left w:val="none" w:sz="0" w:space="0" w:color="auto"/>
            <w:bottom w:val="none" w:sz="0" w:space="0" w:color="auto"/>
            <w:right w:val="none" w:sz="0" w:space="0" w:color="auto"/>
          </w:divBdr>
        </w:div>
        <w:div w:id="2045784486">
          <w:marLeft w:val="0"/>
          <w:marRight w:val="0"/>
          <w:marTop w:val="0"/>
          <w:marBottom w:val="0"/>
          <w:divBdr>
            <w:top w:val="none" w:sz="0" w:space="0" w:color="auto"/>
            <w:left w:val="none" w:sz="0" w:space="0" w:color="auto"/>
            <w:bottom w:val="none" w:sz="0" w:space="0" w:color="auto"/>
            <w:right w:val="none" w:sz="0" w:space="0" w:color="auto"/>
          </w:divBdr>
        </w:div>
        <w:div w:id="979461556">
          <w:marLeft w:val="0"/>
          <w:marRight w:val="0"/>
          <w:marTop w:val="0"/>
          <w:marBottom w:val="0"/>
          <w:divBdr>
            <w:top w:val="none" w:sz="0" w:space="0" w:color="auto"/>
            <w:left w:val="none" w:sz="0" w:space="0" w:color="auto"/>
            <w:bottom w:val="none" w:sz="0" w:space="0" w:color="auto"/>
            <w:right w:val="none" w:sz="0" w:space="0" w:color="auto"/>
          </w:divBdr>
        </w:div>
        <w:div w:id="1223519126">
          <w:marLeft w:val="0"/>
          <w:marRight w:val="0"/>
          <w:marTop w:val="0"/>
          <w:marBottom w:val="0"/>
          <w:divBdr>
            <w:top w:val="none" w:sz="0" w:space="0" w:color="auto"/>
            <w:left w:val="none" w:sz="0" w:space="0" w:color="auto"/>
            <w:bottom w:val="none" w:sz="0" w:space="0" w:color="auto"/>
            <w:right w:val="none" w:sz="0" w:space="0" w:color="auto"/>
          </w:divBdr>
        </w:div>
      </w:divsChild>
    </w:div>
    <w:div w:id="214126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7750/2616-6798.2024.4(51).317559" TargetMode="External"/><Relationship Id="rId18" Type="http://schemas.openxmlformats.org/officeDocument/2006/relationships/hyperlink" Target="https://reyestr.court.gov.ua/Review/119309289" TargetMode="External"/><Relationship Id="rId26" Type="http://schemas.openxmlformats.org/officeDocument/2006/relationships/hyperlink" Target="https://eur-lex.europa.eu/eli/reg/2024/1689/oj/eng" TargetMode="External"/><Relationship Id="rId39" Type="http://schemas.openxmlformats.org/officeDocument/2006/relationships/hyperlink" Target="https://doi.org/10.31732/2708-339X-2026-20-A1" TargetMode="External"/><Relationship Id="rId3" Type="http://schemas.openxmlformats.org/officeDocument/2006/relationships/settings" Target="settings.xml"/><Relationship Id="rId21" Type="http://schemas.openxmlformats.org/officeDocument/2006/relationships/hyperlink" Target="https://reyestr.court.gov.ua/Review/109390187" TargetMode="External"/><Relationship Id="rId34" Type="http://schemas.openxmlformats.org/officeDocument/2006/relationships/hyperlink" Target="https://app-journal.in.ua/wp-content/uploads/2025/06/14.pdf" TargetMode="External"/><Relationship Id="rId42" Type="http://schemas.openxmlformats.org/officeDocument/2006/relationships/hyperlink" Target="https://www.citizen.org/article/generative-influence" TargetMode="External"/><Relationship Id="rId47" Type="http://schemas.openxmlformats.org/officeDocument/2006/relationships/hyperlink" Target="https://d1wqtxts1xzle7.cloudfront.net/58517114/&#1052;&#1086;&#1085;&#1086;&#1075;&#1088;&#1072;&#1092;&#1110;&#1103;_short.pdf" TargetMode="External"/><Relationship Id="rId50" Type="http://schemas.openxmlformats.org/officeDocument/2006/relationships/hyperlink" Target="http://www.chasopys.hl.vnu.volyn.ua/index.php/chasopys/article/download/459/430/904" TargetMode="External"/><Relationship Id="rId7" Type="http://schemas.openxmlformats.org/officeDocument/2006/relationships/hyperlink" Target="https://zakon.rada.gov.ua/laws/show/3606-20" TargetMode="External"/><Relationship Id="rId12" Type="http://schemas.openxmlformats.org/officeDocument/2006/relationships/hyperlink" Target="https://doi.org/10.30970/jcl.4.2023.6" TargetMode="External"/><Relationship Id="rId17" Type="http://schemas.openxmlformats.org/officeDocument/2006/relationships/hyperlink" Target="https://reyestr.court.gov.ua/Review/130097558" TargetMode="External"/><Relationship Id="rId25" Type="http://schemas.openxmlformats.org/officeDocument/2006/relationships/hyperlink" Target="https://zakon.rada.gov.ua/laws/show/z1505-25" TargetMode="External"/><Relationship Id="rId33" Type="http://schemas.openxmlformats.org/officeDocument/2006/relationships/hyperlink" Target="https://app-journal.in.ua/wp-content/uploads/2025/04/APP_02_2025-2.pdf" TargetMode="External"/><Relationship Id="rId38" Type="http://schemas.openxmlformats.org/officeDocument/2006/relationships/hyperlink" Target="https://www.venice.coe.int/webforms/documents/?pdf=CDL-AD(2023)018-e" TargetMode="External"/><Relationship Id="rId46" Type="http://schemas.openxmlformats.org/officeDocument/2006/relationships/hyperlink" Target="https://glavcom.ua/columns/dmytrobyzanov/khto-lobijuvav-do-koho-khodiv-za-shcho-plativ-pidsumki-za-i-pivrichchja-1070758.html" TargetMode="External"/><Relationship Id="rId2" Type="http://schemas.openxmlformats.org/officeDocument/2006/relationships/styles" Target="styles.xml"/><Relationship Id="rId16" Type="http://schemas.openxmlformats.org/officeDocument/2006/relationships/hyperlink" Target="https://reyestr.court.gov.ua/Review/131713691" TargetMode="External"/><Relationship Id="rId20" Type="http://schemas.openxmlformats.org/officeDocument/2006/relationships/hyperlink" Target="https://reyestr.court.gov.ua/Review/136529868" TargetMode="External"/><Relationship Id="rId29" Type="http://schemas.openxmlformats.org/officeDocument/2006/relationships/hyperlink" Target="https://zakon.rada.gov.ua/laws/show/3841-20" TargetMode="External"/><Relationship Id="rId41" Type="http://schemas.openxmlformats.org/officeDocument/2006/relationships/hyperlink" Target="https://doi.org/10.32782/2524-0374/2026-1/58"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on.rada.gov.ua/laws/show/254%D0%BA/96-%D0%B2%D1%80" TargetMode="External"/><Relationship Id="rId11" Type="http://schemas.openxmlformats.org/officeDocument/2006/relationships/hyperlink" Target="https://doi.org/10.30970/jcl.2.2024.5" TargetMode="External"/><Relationship Id="rId24" Type="http://schemas.openxmlformats.org/officeDocument/2006/relationships/hyperlink" Target="https://zakon.rada.gov.ua/laws/show/2073-20" TargetMode="External"/><Relationship Id="rId32" Type="http://schemas.openxmlformats.org/officeDocument/2006/relationships/hyperlink" Target="https://app-journal.in.ua/wp-content/uploads/2025/02/13.pdf" TargetMode="External"/><Relationship Id="rId37" Type="http://schemas.openxmlformats.org/officeDocument/2006/relationships/hyperlink" Target="https://wiki.nazk.gov.ua/pdfjs/?file=/wp-content/uploads/Categories/6b/af/6baf358a1d7585ca29a45b9eeaccf6683285e44c72bc027914dc36a21ac6581d56025714.pdf" TargetMode="External"/><Relationship Id="rId40" Type="http://schemas.openxmlformats.org/officeDocument/2006/relationships/hyperlink" Target="https://doi.org/10.24144/2788-6018.2026.02.1.19" TargetMode="External"/><Relationship Id="rId45" Type="http://schemas.openxmlformats.org/officeDocument/2006/relationships/hyperlink" Target="https://ec.europa.eu/commission/presscorner/detail/en/ip_26_1714" TargetMode="External"/><Relationship Id="rId53" Type="http://schemas.openxmlformats.org/officeDocument/2006/relationships/fontTable" Target="fontTable.xml"/><Relationship Id="rId5" Type="http://schemas.openxmlformats.org/officeDocument/2006/relationships/hyperlink" Target="mailto:innabernaziuk@gmail.com" TargetMode="External"/><Relationship Id="rId15" Type="http://schemas.openxmlformats.org/officeDocument/2006/relationships/hyperlink" Target="https://doi.org/10.32782/1813-3401.2025.3.29" TargetMode="External"/><Relationship Id="rId23" Type="http://schemas.openxmlformats.org/officeDocument/2006/relationships/hyperlink" Target="https://zakon.rada.gov.ua/laws/show/459/2022" TargetMode="External"/><Relationship Id="rId28" Type="http://schemas.openxmlformats.org/officeDocument/2006/relationships/hyperlink" Target="https://zakon.rada.gov.ua/laws/show/3354-20" TargetMode="External"/><Relationship Id="rId36" Type="http://schemas.openxmlformats.org/officeDocument/2006/relationships/hyperlink" Target="https://doi.org/10.33766/2524-0323.91.15-27" TargetMode="External"/><Relationship Id="rId49" Type="http://schemas.openxmlformats.org/officeDocument/2006/relationships/hyperlink" Target="https://irbis-nbuv.gov.ua/cgi-bin/irbis_nbuv/cgiirbis_64.exe?C21COM=2&amp;I21DBN=UJRN&amp;IMAGE_FILE_DOWNLOAD=1&amp;Image_file_name=PDF/Vlduvs_2015_3_6.pdf&amp;P21DBN=UJRN" TargetMode="External"/><Relationship Id="rId10" Type="http://schemas.openxmlformats.org/officeDocument/2006/relationships/hyperlink" Target="https://zakon.rada.gov.ua/laws/show/1175-2024-%D0%BF" TargetMode="External"/><Relationship Id="rId19" Type="http://schemas.openxmlformats.org/officeDocument/2006/relationships/hyperlink" Target="https://reyestr.court.gov.ua/Review/135538393" TargetMode="External"/><Relationship Id="rId31" Type="http://schemas.openxmlformats.org/officeDocument/2006/relationships/hyperlink" Target="https://zakon.rada.gov.ua/laws/show/393/96-&#1074;&#1088;" TargetMode="External"/><Relationship Id="rId44" Type="http://schemas.openxmlformats.org/officeDocument/2006/relationships/hyperlink" Target="https://www.oecd.org/uk/publications/2026_02b23cc7-uk/690e7191-uk.html" TargetMode="External"/><Relationship Id="rId52" Type="http://schemas.openxmlformats.org/officeDocument/2006/relationships/hyperlink" Target="https://www.slideshare.net/slideshow/ss-73470327/73470327" TargetMode="External"/><Relationship Id="rId4" Type="http://schemas.openxmlformats.org/officeDocument/2006/relationships/webSettings" Target="webSettings.xml"/><Relationship Id="rId9" Type="http://schemas.openxmlformats.org/officeDocument/2006/relationships/hyperlink" Target="https://zakon.rada.gov.ua/laws/show/2297-17" TargetMode="External"/><Relationship Id="rId14" Type="http://schemas.openxmlformats.org/officeDocument/2006/relationships/hyperlink" Target="https://doi.org/10.15421/152514" TargetMode="External"/><Relationship Id="rId22" Type="http://schemas.openxmlformats.org/officeDocument/2006/relationships/hyperlink" Target="https://zakon.rada.gov.ua/laws/show/1780-20" TargetMode="External"/><Relationship Id="rId27" Type="http://schemas.openxmlformats.org/officeDocument/2006/relationships/hyperlink" Target="https://rm.coe.int/cepej-2025-18final-en-draft-guidelines-on-the-use-of-generative-ai-for/48802a4ad1" TargetMode="External"/><Relationship Id="rId30" Type="http://schemas.openxmlformats.org/officeDocument/2006/relationships/hyperlink" Target="https://zakon.rada.gov.ua/laws/show/1160-15" TargetMode="External"/><Relationship Id="rId35" Type="http://schemas.openxmlformats.org/officeDocument/2006/relationships/hyperlink" Target="https://visnyk-pravo.uzhnu.edu.ua/article/download/354445/340733/821527" TargetMode="External"/><Relationship Id="rId43" Type="http://schemas.openxmlformats.org/officeDocument/2006/relationships/hyperlink" Target="https://doi.org/10.1787/16708b78-en\" TargetMode="External"/><Relationship Id="rId48" Type="http://schemas.openxmlformats.org/officeDocument/2006/relationships/hyperlink" Target="https://irbis-nbuv.gov.ua/cgi-bin/irbis_nbuv/cgiirbis_64.exe?C21COM=2&amp;I21DBN=UJRN&amp;IMAGE_FILE_DOWNLOAD=1&amp;Image_file_name=PDF/Vlduvs_2015_4_6.pdf&amp;P21DBN=UJRN" TargetMode="External"/><Relationship Id="rId8" Type="http://schemas.openxmlformats.org/officeDocument/2006/relationships/hyperlink" Target="https://zakon.rada.gov.ua/laws/show/2939-17" TargetMode="External"/><Relationship Id="rId51" Type="http://schemas.openxmlformats.org/officeDocument/2006/relationships/hyperlink" Target="https://epravda.com.ua/columns/2021/06/15/6747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43533</Words>
  <Characters>24815</Characters>
  <Application>Microsoft Office Word</Application>
  <DocSecurity>0</DocSecurity>
  <Lines>206</Lines>
  <Paragraphs>136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2026-08-10T20:53:00Z</dcterms:created>
  <dcterms:modified xsi:type="dcterms:W3CDTF">2026-08-10T21:08:00Z</dcterms:modified>
</cp:coreProperties>
</file>